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76C70">
      <w:pPr>
        <w:spacing w:before="184" w:line="175" w:lineRule="auto"/>
        <w:jc w:val="center"/>
        <w:rPr>
          <w:rFonts w:ascii="微软雅黑" w:hAnsi="微软雅黑" w:eastAsia="微软雅黑" w:cs="微软雅黑"/>
          <w:color w:val="auto"/>
          <w:spacing w:val="7"/>
          <w:sz w:val="43"/>
          <w:szCs w:val="43"/>
          <w:lang w:eastAsia="zh-CN"/>
        </w:rPr>
      </w:pPr>
      <w:r>
        <w:rPr>
          <w:rFonts w:hint="eastAsia" w:ascii="微软雅黑" w:hAnsi="微软雅黑" w:eastAsia="微软雅黑" w:cs="微软雅黑"/>
          <w:spacing w:val="7"/>
          <w:sz w:val="43"/>
          <w:szCs w:val="43"/>
          <w:lang w:eastAsia="zh-CN"/>
        </w:rPr>
        <w:t>计算机科学学院硕士</w:t>
      </w:r>
      <w:r>
        <w:rPr>
          <w:rFonts w:ascii="微软雅黑" w:hAnsi="微软雅黑" w:eastAsia="微软雅黑" w:cs="微软雅黑"/>
          <w:spacing w:val="7"/>
          <w:sz w:val="43"/>
          <w:szCs w:val="43"/>
          <w:lang w:eastAsia="zh-CN"/>
        </w:rPr>
        <w:t>研究生</w:t>
      </w:r>
      <w:r>
        <w:rPr>
          <w:rFonts w:hint="eastAsia" w:ascii="微软雅黑" w:hAnsi="微软雅黑" w:eastAsia="微软雅黑" w:cs="微软雅黑"/>
          <w:color w:val="auto"/>
          <w:spacing w:val="7"/>
          <w:sz w:val="43"/>
          <w:szCs w:val="43"/>
          <w:lang w:eastAsia="zh-CN"/>
        </w:rPr>
        <w:t>校长</w:t>
      </w:r>
      <w:r>
        <w:rPr>
          <w:rFonts w:ascii="微软雅黑" w:hAnsi="微软雅黑" w:eastAsia="微软雅黑" w:cs="微软雅黑"/>
          <w:color w:val="auto"/>
          <w:spacing w:val="7"/>
          <w:sz w:val="43"/>
          <w:szCs w:val="43"/>
          <w:lang w:eastAsia="zh-CN"/>
        </w:rPr>
        <w:t>奖学金</w:t>
      </w:r>
    </w:p>
    <w:p w14:paraId="413F75A9">
      <w:pPr>
        <w:spacing w:before="184" w:line="175" w:lineRule="auto"/>
        <w:jc w:val="center"/>
        <w:rPr>
          <w:rFonts w:ascii="微软雅黑" w:hAnsi="微软雅黑" w:eastAsia="微软雅黑" w:cs="微软雅黑"/>
          <w:color w:val="auto"/>
          <w:spacing w:val="7"/>
          <w:sz w:val="43"/>
          <w:szCs w:val="43"/>
        </w:rPr>
      </w:pPr>
      <w:r>
        <w:rPr>
          <w:rFonts w:ascii="微软雅黑" w:hAnsi="微软雅黑" w:eastAsia="微软雅黑" w:cs="微软雅黑"/>
          <w:color w:val="auto"/>
          <w:spacing w:val="7"/>
          <w:sz w:val="43"/>
          <w:szCs w:val="43"/>
        </w:rPr>
        <w:t>评审实施细则</w:t>
      </w:r>
    </w:p>
    <w:p w14:paraId="34C4CDBB">
      <w:pPr>
        <w:spacing w:before="184" w:line="175" w:lineRule="auto"/>
        <w:jc w:val="center"/>
        <w:rPr>
          <w:rFonts w:ascii="微软雅黑" w:hAnsi="微软雅黑" w:eastAsia="微软雅黑" w:cs="微软雅黑"/>
          <w:spacing w:val="7"/>
          <w:sz w:val="22"/>
          <w:szCs w:val="22"/>
        </w:rPr>
      </w:pPr>
    </w:p>
    <w:p w14:paraId="36E196ED">
      <w:pPr>
        <w:numPr>
          <w:ilvl w:val="0"/>
          <w:numId w:val="1"/>
        </w:numPr>
        <w:spacing w:before="100" w:line="500" w:lineRule="exact"/>
        <w:ind w:left="0"/>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为促进研究生全面发展，根据《四川师范大学研究生奖助体系设置及管理办法》制定本细则。</w:t>
      </w:r>
    </w:p>
    <w:p w14:paraId="42EE25ED">
      <w:pPr>
        <w:numPr>
          <w:ilvl w:val="0"/>
          <w:numId w:val="1"/>
        </w:numPr>
        <w:spacing w:before="100" w:line="500" w:lineRule="exact"/>
        <w:ind w:left="0"/>
        <w:jc w:val="both"/>
        <w:rPr>
          <w:lang w:eastAsia="zh-CN"/>
        </w:rPr>
      </w:pPr>
      <w:r>
        <w:rPr>
          <w:rFonts w:hint="eastAsia" w:ascii="仿宋" w:hAnsi="仿宋" w:eastAsia="仿宋" w:cs="仿宋"/>
          <w:spacing w:val="9"/>
          <w:sz w:val="31"/>
          <w:szCs w:val="31"/>
          <w:lang w:eastAsia="zh-CN"/>
        </w:rPr>
        <w:t>硕士生每人每年2000元的额度划拨到学院，</w:t>
      </w:r>
      <w:r>
        <w:rPr>
          <w:rFonts w:hint="eastAsia" w:ascii="仿宋" w:hAnsi="仿宋" w:eastAsia="仿宋" w:cs="仿宋"/>
          <w:color w:val="auto"/>
          <w:spacing w:val="9"/>
          <w:sz w:val="31"/>
          <w:szCs w:val="31"/>
          <w:lang w:eastAsia="zh-CN"/>
        </w:rPr>
        <w:t>名额按学术学位和专业学位分类划分</w:t>
      </w:r>
      <w:r>
        <w:rPr>
          <w:rFonts w:ascii="仿宋" w:hAnsi="仿宋" w:eastAsia="仿宋" w:cs="仿宋"/>
          <w:color w:val="auto"/>
          <w:spacing w:val="9"/>
          <w:sz w:val="31"/>
          <w:szCs w:val="31"/>
          <w:lang w:eastAsia="zh-CN"/>
        </w:rPr>
        <w:t>。</w:t>
      </w:r>
    </w:p>
    <w:p w14:paraId="20650769">
      <w:pPr>
        <w:numPr>
          <w:ilvl w:val="0"/>
          <w:numId w:val="1"/>
        </w:numPr>
        <w:spacing w:before="100" w:line="500" w:lineRule="exact"/>
        <w:ind w:left="0"/>
        <w:jc w:val="both"/>
        <w:rPr>
          <w:lang w:eastAsia="zh-CN"/>
        </w:rPr>
      </w:pPr>
      <w:r>
        <w:rPr>
          <w:rFonts w:hint="eastAsia" w:ascii="仿宋" w:hAnsi="仿宋" w:eastAsia="仿宋" w:cs="仿宋"/>
          <w:spacing w:val="9"/>
          <w:sz w:val="31"/>
          <w:szCs w:val="31"/>
          <w:lang w:eastAsia="zh-CN"/>
        </w:rPr>
        <w:t>每</w:t>
      </w:r>
      <w:r>
        <w:rPr>
          <w:rFonts w:ascii="仿宋" w:hAnsi="仿宋" w:eastAsia="仿宋" w:cs="仿宋"/>
          <w:spacing w:val="8"/>
          <w:sz w:val="31"/>
          <w:szCs w:val="31"/>
          <w:lang w:eastAsia="zh-CN"/>
        </w:rPr>
        <w:t>年</w:t>
      </w:r>
      <w:r>
        <w:rPr>
          <w:rFonts w:hint="eastAsia" w:ascii="仿宋" w:hAnsi="仿宋" w:eastAsia="仿宋" w:cs="仿宋"/>
          <w:spacing w:val="-47"/>
          <w:sz w:val="31"/>
          <w:szCs w:val="31"/>
          <w:lang w:val="en-US" w:eastAsia="zh-CN"/>
        </w:rPr>
        <w:t>10</w:t>
      </w:r>
      <w:r>
        <w:rPr>
          <w:rFonts w:ascii="仿宋" w:hAnsi="仿宋" w:eastAsia="仿宋" w:cs="仿宋"/>
          <w:spacing w:val="-39"/>
          <w:sz w:val="31"/>
          <w:szCs w:val="31"/>
          <w:lang w:eastAsia="zh-CN"/>
        </w:rPr>
        <w:t xml:space="preserve"> </w:t>
      </w:r>
      <w:r>
        <w:rPr>
          <w:rFonts w:ascii="仿宋" w:hAnsi="仿宋" w:eastAsia="仿宋" w:cs="仿宋"/>
          <w:spacing w:val="4"/>
          <w:sz w:val="31"/>
          <w:szCs w:val="31"/>
          <w:lang w:eastAsia="zh-CN"/>
        </w:rPr>
        <w:t>月</w:t>
      </w:r>
      <w:r>
        <w:rPr>
          <w:rFonts w:ascii="仿宋" w:hAnsi="仿宋" w:eastAsia="仿宋" w:cs="仿宋"/>
          <w:spacing w:val="8"/>
          <w:sz w:val="31"/>
          <w:szCs w:val="31"/>
          <w:lang w:eastAsia="zh-CN"/>
        </w:rPr>
        <w:t>进行一次</w:t>
      </w:r>
      <w:r>
        <w:rPr>
          <w:rFonts w:hint="eastAsia" w:ascii="仿宋" w:hAnsi="仿宋" w:eastAsia="仿宋" w:cs="仿宋"/>
          <w:spacing w:val="8"/>
          <w:sz w:val="31"/>
          <w:szCs w:val="31"/>
          <w:lang w:eastAsia="zh-CN"/>
        </w:rPr>
        <w:t>校长</w:t>
      </w:r>
      <w:r>
        <w:rPr>
          <w:rFonts w:ascii="仿宋" w:hAnsi="仿宋" w:eastAsia="仿宋" w:cs="仿宋"/>
          <w:spacing w:val="8"/>
          <w:sz w:val="31"/>
          <w:szCs w:val="31"/>
          <w:lang w:eastAsia="zh-CN"/>
        </w:rPr>
        <w:t>奖学金评审工作</w:t>
      </w:r>
      <w:r>
        <w:rPr>
          <w:rFonts w:hint="eastAsia" w:ascii="仿宋" w:hAnsi="仿宋" w:eastAsia="仿宋" w:cs="仿宋"/>
          <w:spacing w:val="8"/>
          <w:sz w:val="31"/>
          <w:szCs w:val="31"/>
          <w:lang w:eastAsia="zh-CN"/>
        </w:rPr>
        <w:t>。</w:t>
      </w:r>
      <w:r>
        <w:rPr>
          <w:rFonts w:hint="eastAsia" w:ascii="仿宋" w:hAnsi="仿宋" w:eastAsia="仿宋" w:cs="仿宋"/>
          <w:spacing w:val="9"/>
          <w:sz w:val="31"/>
          <w:szCs w:val="31"/>
          <w:lang w:eastAsia="zh-CN"/>
        </w:rPr>
        <w:t>获校长奖学金的学生，可兼得国家奖学</w:t>
      </w:r>
      <w:r>
        <w:rPr>
          <w:rFonts w:hint="eastAsia" w:ascii="仿宋" w:hAnsi="仿宋" w:eastAsia="仿宋" w:cs="仿宋"/>
          <w:spacing w:val="9"/>
          <w:sz w:val="31"/>
          <w:szCs w:val="31"/>
          <w:lang w:val="en-US" w:eastAsia="zh-CN"/>
        </w:rPr>
        <w:t>金或者学业奖学金其中之一</w:t>
      </w:r>
      <w:bookmarkStart w:id="0" w:name="_GoBack"/>
      <w:bookmarkEnd w:id="0"/>
      <w:r>
        <w:rPr>
          <w:rFonts w:hint="eastAsia" w:ascii="仿宋" w:hAnsi="仿宋" w:eastAsia="仿宋" w:cs="仿宋"/>
          <w:spacing w:val="9"/>
          <w:sz w:val="31"/>
          <w:szCs w:val="31"/>
          <w:lang w:val="en-US" w:eastAsia="zh-CN"/>
        </w:rPr>
        <w:t>。</w:t>
      </w:r>
    </w:p>
    <w:p w14:paraId="5191FAB9">
      <w:pPr>
        <w:numPr>
          <w:ilvl w:val="0"/>
          <w:numId w:val="1"/>
        </w:numPr>
        <w:spacing w:before="100" w:line="500" w:lineRule="exact"/>
        <w:ind w:left="0"/>
        <w:jc w:val="both"/>
        <w:rPr>
          <w:lang w:eastAsia="zh-CN"/>
        </w:rPr>
      </w:pPr>
      <w:r>
        <w:rPr>
          <w:rFonts w:hint="eastAsia" w:ascii="仿宋" w:hAnsi="仿宋" w:eastAsia="仿宋" w:cs="仿宋"/>
          <w:spacing w:val="9"/>
          <w:sz w:val="31"/>
          <w:szCs w:val="31"/>
          <w:lang w:eastAsia="zh-CN"/>
        </w:rPr>
        <w:t>兼得考评时不能再叠</w:t>
      </w:r>
      <w:r>
        <w:rPr>
          <w:rFonts w:ascii="仿宋" w:hAnsi="仿宋" w:eastAsia="仿宋" w:cs="仿宋"/>
          <w:spacing w:val="9"/>
          <w:sz w:val="31"/>
          <w:szCs w:val="31"/>
          <w:lang w:eastAsia="zh-CN"/>
        </w:rPr>
        <w:t>加该生已经用过的学术科研成果</w:t>
      </w:r>
      <w:r>
        <w:rPr>
          <w:rFonts w:hint="eastAsia" w:ascii="仿宋" w:hAnsi="仿宋" w:eastAsia="仿宋" w:cs="仿宋"/>
          <w:spacing w:val="9"/>
          <w:sz w:val="31"/>
          <w:szCs w:val="31"/>
          <w:lang w:eastAsia="zh-CN"/>
        </w:rPr>
        <w:t>。未经导师同意擅自发表的科研成果不得用于参与奖学金评定。</w:t>
      </w:r>
    </w:p>
    <w:p w14:paraId="5B4616D2">
      <w:pPr>
        <w:numPr>
          <w:ilvl w:val="0"/>
          <w:numId w:val="1"/>
        </w:numPr>
        <w:spacing w:before="100" w:line="500" w:lineRule="exact"/>
        <w:ind w:left="0"/>
        <w:jc w:val="both"/>
        <w:rPr>
          <w:rFonts w:ascii="仿宋" w:hAnsi="仿宋" w:eastAsia="仿宋" w:cs="仿宋"/>
          <w:lang w:eastAsia="zh-CN"/>
        </w:rPr>
      </w:pPr>
      <w:r>
        <w:rPr>
          <w:rFonts w:hint="eastAsia" w:ascii="仿宋" w:hAnsi="仿宋" w:eastAsia="仿宋" w:cs="仿宋"/>
          <w:spacing w:val="9"/>
          <w:sz w:val="31"/>
          <w:szCs w:val="31"/>
          <w:lang w:eastAsia="zh-CN"/>
        </w:rPr>
        <w:t>所有参评的成果必须是申请人在读期间的原创性</w:t>
      </w:r>
      <w:r>
        <w:rPr>
          <w:rFonts w:ascii="仿宋" w:hAnsi="仿宋" w:eastAsia="仿宋" w:cs="仿宋"/>
          <w:spacing w:val="9"/>
          <w:sz w:val="31"/>
          <w:szCs w:val="31"/>
          <w:lang w:eastAsia="zh-CN"/>
        </w:rPr>
        <w:t>成果。一经发现或举报，确定为学术不端行为的，相关研究生取消所有参评资格。</w:t>
      </w:r>
    </w:p>
    <w:p w14:paraId="3B4FBD19">
      <w:pPr>
        <w:numPr>
          <w:ilvl w:val="0"/>
          <w:numId w:val="1"/>
        </w:numPr>
        <w:spacing w:before="100" w:line="500" w:lineRule="exact"/>
        <w:ind w:left="0"/>
        <w:jc w:val="both"/>
        <w:rPr>
          <w:rFonts w:ascii="仿宋" w:hAnsi="仿宋" w:eastAsia="仿宋" w:cs="仿宋"/>
          <w:lang w:eastAsia="zh-CN"/>
        </w:rPr>
      </w:pPr>
      <w:r>
        <w:rPr>
          <w:rFonts w:hint="eastAsia" w:ascii="仿宋" w:hAnsi="仿宋" w:eastAsia="仿宋" w:cs="仿宋"/>
          <w:spacing w:val="9"/>
          <w:sz w:val="31"/>
          <w:szCs w:val="31"/>
          <w:lang w:eastAsia="zh-CN"/>
        </w:rPr>
        <w:t>国家奖学金、学业奖学金评选时已使用的科研成果，不再在校长奖学金科研成果专项奖励中重复使用。</w:t>
      </w:r>
    </w:p>
    <w:p w14:paraId="0404410B">
      <w:pPr>
        <w:numPr>
          <w:ilvl w:val="0"/>
          <w:numId w:val="1"/>
        </w:numPr>
        <w:spacing w:before="100" w:line="500" w:lineRule="exact"/>
        <w:ind w:left="0"/>
        <w:jc w:val="both"/>
        <w:rPr>
          <w:rFonts w:ascii="仿宋" w:hAnsi="仿宋" w:eastAsia="仿宋" w:cs="仿宋"/>
          <w:spacing w:val="9"/>
          <w:sz w:val="31"/>
          <w:szCs w:val="31"/>
        </w:rPr>
      </w:pPr>
      <w:r>
        <w:rPr>
          <w:rFonts w:ascii="仿宋" w:hAnsi="仿宋" w:eastAsia="仿宋" w:cs="仿宋"/>
          <w:spacing w:val="9"/>
          <w:sz w:val="31"/>
          <w:szCs w:val="31"/>
          <w:lang w:eastAsia="zh-CN"/>
        </w:rPr>
        <w:t>本细则适用于我院在学校就读，纳入全国研究生招生计划，基本学制年限内的全日制研究生（定向或有固定工资收入或缴纳社保、缴存住房公积金、工商登记注册或本人档案未调入本人所在研究生培养单位的研究生除外）；以及在校就读的全日制外籍研究生。</w:t>
      </w:r>
      <w:r>
        <w:rPr>
          <w:rFonts w:hint="eastAsia" w:ascii="仿宋" w:hAnsi="仿宋" w:eastAsia="仿宋" w:cs="仿宋"/>
          <w:spacing w:val="9"/>
          <w:sz w:val="31"/>
          <w:szCs w:val="31"/>
        </w:rPr>
        <w:t>一年级硕士研究生不参评研究生校长奖学金。</w:t>
      </w:r>
    </w:p>
    <w:p w14:paraId="72BAD5EB">
      <w:pPr>
        <w:numPr>
          <w:ilvl w:val="0"/>
          <w:numId w:val="1"/>
        </w:numPr>
        <w:spacing w:before="100" w:line="500" w:lineRule="exact"/>
        <w:ind w:left="0"/>
        <w:jc w:val="both"/>
        <w:rPr>
          <w:rFonts w:ascii="仿宋" w:hAnsi="仿宋" w:eastAsia="仿宋" w:cs="仿宋"/>
          <w:lang w:eastAsia="zh-CN"/>
        </w:rPr>
      </w:pPr>
      <w:r>
        <w:rPr>
          <w:rFonts w:hint="eastAsia" w:ascii="仿宋" w:hAnsi="仿宋" w:eastAsia="仿宋" w:cs="仿宋"/>
          <w:spacing w:val="9"/>
          <w:sz w:val="31"/>
          <w:szCs w:val="31"/>
          <w:lang w:eastAsia="zh-CN"/>
        </w:rPr>
        <w:t>研究生校长奖学金申请者的基本条件：</w:t>
      </w:r>
    </w:p>
    <w:p w14:paraId="7A8ABFC6">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思想品德：热爱社会主义祖国，拥护中国共产党的领导，遵守国家法律法规，遵守学校规章制度，诚实守信，道德品质优良。</w:t>
      </w:r>
    </w:p>
    <w:p w14:paraId="1DB2809A">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课程学习：学习成绩优秀，无课程考核不合格。</w:t>
      </w:r>
    </w:p>
    <w:p w14:paraId="062123AB">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科学研究：科研能力、创新能力和发展潜力突出。</w:t>
      </w:r>
    </w:p>
    <w:p w14:paraId="0D2A858E">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 xml:space="preserve"> 综合素质：在社会实践与志愿服务、社会工作、校园文化活动、创新创业、精神文明创建等方面表现突出。</w:t>
      </w:r>
    </w:p>
    <w:p w14:paraId="39F71CF8">
      <w:pPr>
        <w:numPr>
          <w:ilvl w:val="0"/>
          <w:numId w:val="1"/>
        </w:numPr>
        <w:spacing w:before="100" w:line="500" w:lineRule="exact"/>
        <w:ind w:left="0"/>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研究生不具备当年研究生校长奖学金参评资格的情况：</w:t>
      </w:r>
    </w:p>
    <w:p w14:paraId="1E9BA9A6">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不履行公民义务的；</w:t>
      </w:r>
    </w:p>
    <w:p w14:paraId="7059CBF5">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参评学年学籍状态处于休学、保留学籍的，待办理复 学手续后恢复申请资格；研究生在休学所处学年已经评定并发放的，在复学后的相应学年不再参与评定；</w:t>
      </w:r>
    </w:p>
    <w:p w14:paraId="1CEE41D1">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超出基本学制年限的；</w:t>
      </w:r>
    </w:p>
    <w:p w14:paraId="0CDBA1F0">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违反国家法律法规或受到校规校纪处分的；</w:t>
      </w:r>
    </w:p>
    <w:p w14:paraId="1EE214BB">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考核学年有学术不端行为经查实的；</w:t>
      </w:r>
    </w:p>
    <w:p w14:paraId="59166881">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存在公共必修课程和专业课程不及格，或不及格记录者；</w:t>
      </w:r>
    </w:p>
    <w:p w14:paraId="072BDD0A">
      <w:pPr>
        <w:numPr>
          <w:ilvl w:val="2"/>
          <w:numId w:val="1"/>
        </w:numPr>
        <w:spacing w:before="100" w:line="500" w:lineRule="exact"/>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经认定有其他不应获得校长奖学金情形的。</w:t>
      </w:r>
    </w:p>
    <w:p w14:paraId="337E3FD3">
      <w:pPr>
        <w:numPr>
          <w:ilvl w:val="0"/>
          <w:numId w:val="1"/>
        </w:numPr>
        <w:spacing w:before="100" w:line="500" w:lineRule="exact"/>
        <w:ind w:left="0"/>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学校于12月31日前将当年研究生校长奖学金一次性发放给获奖学生，同时发放研究生校长奖学金荣誉证书，并将获奖情况记入学生档案。</w:t>
      </w:r>
    </w:p>
    <w:p w14:paraId="49B409ED">
      <w:pPr>
        <w:numPr>
          <w:ilvl w:val="0"/>
          <w:numId w:val="1"/>
        </w:numPr>
        <w:spacing w:before="100" w:line="500" w:lineRule="exact"/>
        <w:ind w:left="0"/>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经发现并查实获得研究生校长奖学金者有弄虚作假等行为的，学校撤销其所得奖励，并予处分。</w:t>
      </w:r>
    </w:p>
    <w:p w14:paraId="25CE8E49">
      <w:pPr>
        <w:numPr>
          <w:ilvl w:val="0"/>
          <w:numId w:val="1"/>
        </w:numPr>
        <w:spacing w:before="100" w:line="500" w:lineRule="exact"/>
        <w:ind w:left="0"/>
        <w:jc w:val="both"/>
        <w:rPr>
          <w:rFonts w:ascii="仿宋" w:hAnsi="仿宋" w:eastAsia="仿宋" w:cs="仿宋"/>
          <w:spacing w:val="9"/>
          <w:sz w:val="31"/>
          <w:szCs w:val="31"/>
          <w:lang w:eastAsia="zh-CN"/>
        </w:rPr>
      </w:pPr>
      <w:r>
        <w:rPr>
          <w:rFonts w:hint="eastAsia" w:ascii="仿宋" w:hAnsi="仿宋" w:eastAsia="仿宋" w:cs="仿宋"/>
          <w:spacing w:val="9"/>
          <w:sz w:val="31"/>
          <w:szCs w:val="31"/>
          <w:lang w:eastAsia="zh-CN"/>
        </w:rPr>
        <w:t>校长奖学金奖项设置：</w:t>
      </w:r>
    </w:p>
    <w:tbl>
      <w:tblPr>
        <w:tblStyle w:val="8"/>
        <w:tblW w:w="8637" w:type="dxa"/>
        <w:jc w:val="center"/>
        <w:shd w:val="clear" w:color="auto" w:fill="FFFFFF"/>
        <w:tblLayout w:type="autofit"/>
        <w:tblCellMar>
          <w:top w:w="15" w:type="dxa"/>
          <w:left w:w="15" w:type="dxa"/>
          <w:bottom w:w="15" w:type="dxa"/>
          <w:right w:w="15" w:type="dxa"/>
        </w:tblCellMar>
      </w:tblPr>
      <w:tblGrid>
        <w:gridCol w:w="1522"/>
        <w:gridCol w:w="2760"/>
        <w:gridCol w:w="1561"/>
        <w:gridCol w:w="1290"/>
        <w:gridCol w:w="1504"/>
      </w:tblGrid>
      <w:tr w14:paraId="3A796714">
        <w:tblPrEx>
          <w:shd w:val="clear" w:color="auto" w:fill="FFFFFF"/>
          <w:tblCellMar>
            <w:top w:w="15" w:type="dxa"/>
            <w:left w:w="15" w:type="dxa"/>
            <w:bottom w:w="15" w:type="dxa"/>
            <w:right w:w="15" w:type="dxa"/>
          </w:tblCellMar>
        </w:tblPrEx>
        <w:trPr>
          <w:trHeight w:val="619" w:hRule="atLeast"/>
          <w:jc w:val="center"/>
        </w:trPr>
        <w:tc>
          <w:tcPr>
            <w:tcW w:w="1522"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30301486">
            <w:pPr>
              <w:pStyle w:val="6"/>
              <w:spacing w:beforeAutospacing="0" w:after="0" w:afterAutospacing="0"/>
              <w:jc w:val="center"/>
              <w:rPr>
                <w:rFonts w:ascii="仿宋" w:hAnsi="仿宋" w:eastAsia="仿宋" w:cs="仿宋"/>
                <w:sz w:val="21"/>
              </w:rPr>
            </w:pPr>
            <w:r>
              <w:rPr>
                <w:rFonts w:hint="eastAsia" w:ascii="仿宋" w:hAnsi="仿宋" w:eastAsia="仿宋" w:cs="仿宋"/>
                <w:sz w:val="21"/>
              </w:rPr>
              <w:t>等级</w:t>
            </w:r>
          </w:p>
        </w:tc>
        <w:tc>
          <w:tcPr>
            <w:tcW w:w="276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338F16EB">
            <w:pPr>
              <w:pStyle w:val="6"/>
              <w:spacing w:beforeAutospacing="0" w:after="0" w:afterAutospacing="0"/>
              <w:jc w:val="center"/>
              <w:rPr>
                <w:rFonts w:ascii="仿宋" w:hAnsi="仿宋" w:eastAsia="仿宋" w:cs="仿宋"/>
                <w:sz w:val="21"/>
              </w:rPr>
            </w:pPr>
            <w:r>
              <w:rPr>
                <w:rFonts w:hint="eastAsia" w:ascii="仿宋" w:hAnsi="仿宋" w:eastAsia="仿宋" w:cs="仿宋"/>
                <w:sz w:val="21"/>
              </w:rPr>
              <w:t>说明</w:t>
            </w: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060CA37B">
            <w:pPr>
              <w:pStyle w:val="6"/>
              <w:spacing w:beforeAutospacing="0" w:after="0" w:afterAutospacing="0"/>
              <w:jc w:val="center"/>
              <w:rPr>
                <w:rFonts w:ascii="仿宋" w:hAnsi="仿宋" w:eastAsia="仿宋" w:cs="仿宋"/>
                <w:sz w:val="21"/>
              </w:rPr>
            </w:pPr>
            <w:r>
              <w:rPr>
                <w:rFonts w:hint="eastAsia" w:ascii="仿宋" w:hAnsi="仿宋" w:eastAsia="仿宋" w:cs="仿宋"/>
                <w:sz w:val="21"/>
              </w:rPr>
              <w:t>名额</w:t>
            </w:r>
          </w:p>
        </w:tc>
        <w:tc>
          <w:tcPr>
            <w:tcW w:w="129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22F51678">
            <w:pPr>
              <w:pStyle w:val="6"/>
              <w:spacing w:beforeAutospacing="0" w:after="0" w:afterAutospacing="0"/>
              <w:jc w:val="center"/>
              <w:rPr>
                <w:rFonts w:ascii="仿宋" w:hAnsi="仿宋" w:eastAsia="仿宋" w:cs="仿宋"/>
                <w:sz w:val="21"/>
              </w:rPr>
            </w:pPr>
            <w:r>
              <w:rPr>
                <w:rFonts w:hint="eastAsia" w:ascii="仿宋" w:hAnsi="仿宋" w:eastAsia="仿宋" w:cs="仿宋"/>
                <w:sz w:val="21"/>
              </w:rPr>
              <w:t>奖励标准（元）</w:t>
            </w:r>
          </w:p>
        </w:tc>
        <w:tc>
          <w:tcPr>
            <w:tcW w:w="1504"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064B7F20">
            <w:pPr>
              <w:pStyle w:val="6"/>
              <w:spacing w:beforeAutospacing="0" w:after="0" w:afterAutospacing="0"/>
              <w:jc w:val="center"/>
              <w:rPr>
                <w:rFonts w:ascii="仿宋" w:hAnsi="仿宋" w:eastAsia="仿宋" w:cs="仿宋"/>
                <w:color w:val="FF0000"/>
                <w:sz w:val="21"/>
              </w:rPr>
            </w:pPr>
            <w:r>
              <w:rPr>
                <w:rFonts w:hint="eastAsia" w:ascii="仿宋" w:hAnsi="仿宋" w:eastAsia="仿宋" w:cs="仿宋"/>
                <w:color w:val="FF0000"/>
                <w:sz w:val="21"/>
              </w:rPr>
              <w:t>备注</w:t>
            </w:r>
          </w:p>
        </w:tc>
      </w:tr>
      <w:tr w14:paraId="06F2B6A2">
        <w:tblPrEx>
          <w:shd w:val="clear" w:color="auto" w:fill="FFFFFF"/>
          <w:tblCellMar>
            <w:top w:w="15" w:type="dxa"/>
            <w:left w:w="15" w:type="dxa"/>
            <w:bottom w:w="15" w:type="dxa"/>
            <w:right w:w="15" w:type="dxa"/>
          </w:tblCellMar>
        </w:tblPrEx>
        <w:trPr>
          <w:trHeight w:val="1597" w:hRule="atLeast"/>
          <w:jc w:val="center"/>
        </w:trPr>
        <w:tc>
          <w:tcPr>
            <w:tcW w:w="1522" w:type="dxa"/>
            <w:tcBorders>
              <w:top w:val="nil"/>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45B58959">
            <w:pPr>
              <w:pStyle w:val="6"/>
              <w:spacing w:beforeAutospacing="0" w:after="0" w:afterAutospacing="0"/>
              <w:jc w:val="center"/>
              <w:rPr>
                <w:rFonts w:ascii="仿宋" w:hAnsi="仿宋" w:eastAsia="仿宋" w:cs="仿宋"/>
                <w:sz w:val="21"/>
                <w:highlight w:val="yellow"/>
              </w:rPr>
            </w:pPr>
            <w:r>
              <w:rPr>
                <w:rFonts w:hint="eastAsia" w:ascii="仿宋" w:hAnsi="仿宋" w:eastAsia="仿宋" w:cs="仿宋"/>
                <w:sz w:val="21"/>
              </w:rPr>
              <w:t>科研专项奖（限三年级）</w:t>
            </w:r>
          </w:p>
        </w:tc>
        <w:tc>
          <w:tcPr>
            <w:tcW w:w="2760" w:type="dxa"/>
            <w:tcBorders>
              <w:top w:val="nil"/>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2AFCF3C3">
            <w:pPr>
              <w:pStyle w:val="6"/>
              <w:spacing w:beforeAutospacing="0" w:after="0" w:afterAutospacing="0"/>
              <w:rPr>
                <w:rFonts w:ascii="仿宋" w:hAnsi="仿宋" w:eastAsia="仿宋" w:cs="仿宋"/>
                <w:sz w:val="21"/>
              </w:rPr>
            </w:pPr>
            <w:r>
              <w:rPr>
                <w:rFonts w:hint="eastAsia" w:ascii="仿宋" w:hAnsi="仿宋" w:eastAsia="仿宋" w:cs="仿宋"/>
                <w:sz w:val="21"/>
              </w:rPr>
              <w:t>以第一作者发表CCF A类论文、SCI/SSCI一区论文、</w:t>
            </w:r>
          </w:p>
          <w:p w14:paraId="36A272B4">
            <w:pPr>
              <w:pStyle w:val="6"/>
              <w:spacing w:beforeAutospacing="0" w:after="0" w:afterAutospacing="0"/>
              <w:rPr>
                <w:rFonts w:ascii="仿宋" w:hAnsi="仿宋" w:eastAsia="仿宋" w:cs="仿宋"/>
                <w:sz w:val="21"/>
              </w:rPr>
            </w:pPr>
            <w:r>
              <w:rPr>
                <w:rFonts w:hint="eastAsia" w:ascii="仿宋" w:hAnsi="仿宋" w:eastAsia="仿宋" w:cs="仿宋"/>
                <w:sz w:val="21"/>
              </w:rPr>
              <w:t>国赛一等奖（挑战杯、互联网+）</w:t>
            </w:r>
          </w:p>
          <w:p w14:paraId="6AF878AA">
            <w:pPr>
              <w:pStyle w:val="6"/>
              <w:spacing w:beforeAutospacing="0" w:after="0" w:afterAutospacing="0"/>
              <w:rPr>
                <w:rFonts w:ascii="仿宋" w:hAnsi="仿宋" w:eastAsia="仿宋" w:cs="仿宋"/>
                <w:sz w:val="21"/>
              </w:rPr>
            </w:pPr>
            <w:r>
              <w:rPr>
                <w:rFonts w:hint="eastAsia" w:ascii="仿宋" w:hAnsi="仿宋" w:eastAsia="仿宋" w:cs="仿宋"/>
                <w:sz w:val="21"/>
              </w:rPr>
              <w:t>（国家奖学金、学业奖学金评选时已使用的科研成果，不再在校长奖学金科研成果专项奖励中重复使用。）</w:t>
            </w:r>
          </w:p>
        </w:tc>
        <w:tc>
          <w:tcPr>
            <w:tcW w:w="1561" w:type="dxa"/>
            <w:tcBorders>
              <w:top w:val="nil"/>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4BB3AA67">
            <w:pPr>
              <w:pStyle w:val="6"/>
              <w:spacing w:beforeAutospacing="0" w:after="0" w:afterAutospacing="0"/>
              <w:jc w:val="center"/>
              <w:rPr>
                <w:rFonts w:ascii="仿宋" w:hAnsi="仿宋" w:eastAsia="仿宋" w:cs="仿宋"/>
                <w:sz w:val="21"/>
              </w:rPr>
            </w:pPr>
            <w:r>
              <w:rPr>
                <w:rFonts w:hint="eastAsia" w:ascii="仿宋" w:hAnsi="仿宋" w:eastAsia="仿宋" w:cs="仿宋"/>
                <w:sz w:val="21"/>
              </w:rPr>
              <w:t>全覆盖</w:t>
            </w:r>
          </w:p>
        </w:tc>
        <w:tc>
          <w:tcPr>
            <w:tcW w:w="1290" w:type="dxa"/>
            <w:tcBorders>
              <w:top w:val="nil"/>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11E13B45">
            <w:pPr>
              <w:pStyle w:val="6"/>
              <w:spacing w:beforeAutospacing="0" w:after="0" w:afterAutospacing="0"/>
              <w:jc w:val="center"/>
              <w:rPr>
                <w:rFonts w:ascii="仿宋" w:hAnsi="仿宋" w:eastAsia="仿宋" w:cs="仿宋"/>
                <w:sz w:val="21"/>
              </w:rPr>
            </w:pPr>
            <w:r>
              <w:rPr>
                <w:rFonts w:hint="eastAsia" w:ascii="仿宋" w:hAnsi="仿宋" w:eastAsia="仿宋" w:cs="仿宋"/>
                <w:sz w:val="21"/>
              </w:rPr>
              <w:t>每项8000</w:t>
            </w:r>
          </w:p>
        </w:tc>
        <w:tc>
          <w:tcPr>
            <w:tcW w:w="1504" w:type="dxa"/>
            <w:vMerge w:val="restart"/>
            <w:tcBorders>
              <w:top w:val="nil"/>
              <w:left w:val="single" w:color="auto" w:sz="4" w:space="0"/>
              <w:right w:val="single" w:color="auto" w:sz="4" w:space="0"/>
            </w:tcBorders>
            <w:shd w:val="clear" w:color="auto" w:fill="FFFFFF"/>
            <w:tcMar>
              <w:top w:w="0" w:type="dxa"/>
              <w:left w:w="60" w:type="dxa"/>
              <w:bottom w:w="0" w:type="dxa"/>
              <w:right w:w="60" w:type="dxa"/>
            </w:tcMar>
            <w:vAlign w:val="center"/>
          </w:tcPr>
          <w:p w14:paraId="6DF18898">
            <w:pPr>
              <w:pStyle w:val="6"/>
              <w:spacing w:beforeAutospacing="0" w:after="0" w:afterAutospacing="0"/>
              <w:jc w:val="center"/>
              <w:rPr>
                <w:rFonts w:ascii="仿宋" w:hAnsi="仿宋" w:eastAsia="仿宋" w:cs="仿宋"/>
                <w:color w:val="FF0000"/>
                <w:sz w:val="21"/>
              </w:rPr>
            </w:pPr>
            <w:r>
              <w:rPr>
                <w:rFonts w:hint="eastAsia" w:ascii="仿宋" w:hAnsi="仿宋" w:eastAsia="仿宋" w:cs="仿宋"/>
                <w:color w:val="FF0000"/>
                <w:sz w:val="21"/>
              </w:rPr>
              <w:t>具体金额、名额待奖学金评审委员会公布</w:t>
            </w:r>
          </w:p>
        </w:tc>
      </w:tr>
      <w:tr w14:paraId="6EBE5ADC">
        <w:tblPrEx>
          <w:shd w:val="clear" w:color="auto" w:fill="FFFFFF"/>
          <w:tblCellMar>
            <w:top w:w="15" w:type="dxa"/>
            <w:left w:w="15" w:type="dxa"/>
            <w:bottom w:w="15" w:type="dxa"/>
            <w:right w:w="15" w:type="dxa"/>
          </w:tblCellMar>
        </w:tblPrEx>
        <w:trPr>
          <w:trHeight w:val="979" w:hRule="atLeast"/>
          <w:jc w:val="center"/>
        </w:trPr>
        <w:tc>
          <w:tcPr>
            <w:tcW w:w="1522"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519C171F">
            <w:pPr>
              <w:pStyle w:val="6"/>
              <w:spacing w:beforeAutospacing="0" w:after="0" w:afterAutospacing="0"/>
              <w:jc w:val="center"/>
              <w:rPr>
                <w:rFonts w:ascii="仿宋" w:hAnsi="仿宋" w:eastAsia="仿宋" w:cs="仿宋"/>
                <w:sz w:val="21"/>
              </w:rPr>
            </w:pPr>
            <w:r>
              <w:rPr>
                <w:rFonts w:hint="eastAsia" w:ascii="仿宋" w:hAnsi="仿宋" w:eastAsia="仿宋" w:cs="仿宋"/>
                <w:sz w:val="21"/>
              </w:rPr>
              <w:t>优秀学生干部</w:t>
            </w:r>
          </w:p>
        </w:tc>
        <w:tc>
          <w:tcPr>
            <w:tcW w:w="276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7EEE0043">
            <w:pPr>
              <w:pStyle w:val="6"/>
              <w:spacing w:beforeAutospacing="0" w:after="0" w:afterAutospacing="0"/>
              <w:rPr>
                <w:rFonts w:ascii="仿宋" w:hAnsi="仿宋" w:eastAsia="仿宋" w:cs="仿宋"/>
                <w:sz w:val="21"/>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2ED16553">
            <w:pPr>
              <w:pStyle w:val="6"/>
              <w:spacing w:beforeAutospacing="0" w:after="0" w:afterAutospacing="0"/>
              <w:jc w:val="center"/>
              <w:rPr>
                <w:rFonts w:ascii="仿宋" w:hAnsi="仿宋" w:eastAsia="仿宋" w:cs="仿宋"/>
                <w:sz w:val="21"/>
              </w:rPr>
            </w:pPr>
          </w:p>
        </w:tc>
        <w:tc>
          <w:tcPr>
            <w:tcW w:w="129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56A32E01">
            <w:pPr>
              <w:pStyle w:val="6"/>
              <w:spacing w:beforeAutospacing="0" w:after="0" w:afterAutospacing="0"/>
              <w:jc w:val="center"/>
              <w:rPr>
                <w:rFonts w:ascii="仿宋" w:hAnsi="仿宋" w:eastAsia="仿宋" w:cs="仿宋"/>
                <w:sz w:val="21"/>
              </w:rPr>
            </w:pPr>
          </w:p>
        </w:tc>
        <w:tc>
          <w:tcPr>
            <w:tcW w:w="1504" w:type="dxa"/>
            <w:vMerge w:val="continue"/>
            <w:tcBorders>
              <w:left w:val="single" w:color="auto" w:sz="4" w:space="0"/>
              <w:right w:val="single" w:color="auto" w:sz="4" w:space="0"/>
            </w:tcBorders>
            <w:shd w:val="clear" w:color="auto" w:fill="FFFFFF"/>
            <w:tcMar>
              <w:top w:w="0" w:type="dxa"/>
              <w:left w:w="60" w:type="dxa"/>
              <w:bottom w:w="0" w:type="dxa"/>
              <w:right w:w="60" w:type="dxa"/>
            </w:tcMar>
            <w:vAlign w:val="center"/>
          </w:tcPr>
          <w:p w14:paraId="0ADF4FB2">
            <w:pPr>
              <w:pStyle w:val="6"/>
              <w:spacing w:beforeAutospacing="0" w:after="0" w:afterAutospacing="0"/>
              <w:jc w:val="center"/>
              <w:rPr>
                <w:rFonts w:ascii="仿宋" w:hAnsi="仿宋" w:eastAsia="仿宋" w:cs="仿宋"/>
                <w:sz w:val="21"/>
              </w:rPr>
            </w:pPr>
          </w:p>
        </w:tc>
      </w:tr>
      <w:tr w14:paraId="1968F9C9">
        <w:tblPrEx>
          <w:shd w:val="clear" w:color="auto" w:fill="FFFFFF"/>
          <w:tblCellMar>
            <w:top w:w="15" w:type="dxa"/>
            <w:left w:w="15" w:type="dxa"/>
            <w:bottom w:w="15" w:type="dxa"/>
            <w:right w:w="15" w:type="dxa"/>
          </w:tblCellMar>
        </w:tblPrEx>
        <w:trPr>
          <w:trHeight w:val="529" w:hRule="atLeast"/>
          <w:jc w:val="center"/>
        </w:trPr>
        <w:tc>
          <w:tcPr>
            <w:tcW w:w="1522"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70C69E41">
            <w:pPr>
              <w:pStyle w:val="6"/>
              <w:spacing w:beforeAutospacing="0" w:after="0" w:afterAutospacing="0"/>
              <w:jc w:val="center"/>
              <w:rPr>
                <w:rFonts w:ascii="仿宋" w:hAnsi="仿宋" w:eastAsia="仿宋" w:cs="仿宋"/>
                <w:sz w:val="21"/>
              </w:rPr>
            </w:pPr>
            <w:r>
              <w:rPr>
                <w:rFonts w:hint="eastAsia" w:ascii="仿宋" w:hAnsi="仿宋" w:eastAsia="仿宋" w:cs="仿宋"/>
                <w:sz w:val="21"/>
              </w:rPr>
              <w:t>校长一等</w:t>
            </w:r>
          </w:p>
        </w:tc>
        <w:tc>
          <w:tcPr>
            <w:tcW w:w="276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3712CB9D">
            <w:pPr>
              <w:pStyle w:val="6"/>
              <w:spacing w:beforeAutospacing="0" w:after="0" w:afterAutospacing="0"/>
              <w:jc w:val="both"/>
              <w:rPr>
                <w:rFonts w:ascii="仿宋" w:hAnsi="仿宋" w:eastAsia="仿宋" w:cs="仿宋"/>
                <w:sz w:val="21"/>
              </w:rPr>
            </w:pPr>
          </w:p>
        </w:tc>
        <w:tc>
          <w:tcPr>
            <w:tcW w:w="1561" w:type="dxa"/>
            <w:vMerge w:val="restart"/>
            <w:tcBorders>
              <w:top w:val="single" w:color="auto" w:sz="4" w:space="0"/>
              <w:left w:val="single" w:color="auto" w:sz="4" w:space="0"/>
              <w:right w:val="single" w:color="auto" w:sz="4" w:space="0"/>
            </w:tcBorders>
            <w:shd w:val="clear" w:color="auto" w:fill="FFFFFF"/>
            <w:tcMar>
              <w:top w:w="0" w:type="dxa"/>
              <w:left w:w="60" w:type="dxa"/>
              <w:bottom w:w="0" w:type="dxa"/>
              <w:right w:w="60" w:type="dxa"/>
            </w:tcMar>
            <w:vAlign w:val="center"/>
          </w:tcPr>
          <w:p w14:paraId="332469EB">
            <w:pPr>
              <w:pStyle w:val="6"/>
              <w:spacing w:beforeAutospacing="0" w:after="0" w:afterAutospacing="0"/>
              <w:jc w:val="center"/>
              <w:rPr>
                <w:rFonts w:ascii="仿宋" w:hAnsi="仿宋" w:eastAsia="仿宋" w:cs="仿宋"/>
                <w:color w:val="0000FF"/>
                <w:sz w:val="21"/>
              </w:rPr>
            </w:pPr>
          </w:p>
        </w:tc>
        <w:tc>
          <w:tcPr>
            <w:tcW w:w="129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1B8B06AB">
            <w:pPr>
              <w:pStyle w:val="6"/>
              <w:spacing w:beforeAutospacing="0" w:after="0" w:afterAutospacing="0"/>
              <w:jc w:val="center"/>
              <w:rPr>
                <w:rFonts w:ascii="仿宋" w:hAnsi="仿宋" w:eastAsia="仿宋" w:cs="仿宋"/>
                <w:color w:val="0000FF"/>
                <w:sz w:val="21"/>
              </w:rPr>
            </w:pPr>
          </w:p>
        </w:tc>
        <w:tc>
          <w:tcPr>
            <w:tcW w:w="1504" w:type="dxa"/>
            <w:vMerge w:val="continue"/>
            <w:tcBorders>
              <w:left w:val="single" w:color="auto" w:sz="4" w:space="0"/>
              <w:right w:val="single" w:color="auto" w:sz="4" w:space="0"/>
            </w:tcBorders>
            <w:shd w:val="clear" w:color="auto" w:fill="FFFFFF"/>
            <w:tcMar>
              <w:top w:w="0" w:type="dxa"/>
              <w:left w:w="60" w:type="dxa"/>
              <w:bottom w:w="0" w:type="dxa"/>
              <w:right w:w="60" w:type="dxa"/>
            </w:tcMar>
            <w:vAlign w:val="center"/>
          </w:tcPr>
          <w:p w14:paraId="7E4D6C88">
            <w:pPr>
              <w:pStyle w:val="6"/>
              <w:spacing w:beforeAutospacing="0" w:after="0" w:afterAutospacing="0"/>
              <w:jc w:val="center"/>
              <w:rPr>
                <w:rFonts w:ascii="仿宋" w:hAnsi="仿宋" w:eastAsia="仿宋" w:cs="仿宋"/>
                <w:color w:val="0000FF"/>
                <w:sz w:val="21"/>
              </w:rPr>
            </w:pPr>
          </w:p>
        </w:tc>
      </w:tr>
      <w:tr w14:paraId="137E3C71">
        <w:tblPrEx>
          <w:shd w:val="clear" w:color="auto" w:fill="FFFFFF"/>
          <w:tblCellMar>
            <w:top w:w="15" w:type="dxa"/>
            <w:left w:w="15" w:type="dxa"/>
            <w:bottom w:w="15" w:type="dxa"/>
            <w:right w:w="15" w:type="dxa"/>
          </w:tblCellMar>
        </w:tblPrEx>
        <w:trPr>
          <w:trHeight w:val="499" w:hRule="atLeast"/>
          <w:jc w:val="center"/>
        </w:trPr>
        <w:tc>
          <w:tcPr>
            <w:tcW w:w="1522"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512FB4BB">
            <w:pPr>
              <w:pStyle w:val="6"/>
              <w:spacing w:beforeAutospacing="0" w:after="0" w:afterAutospacing="0"/>
              <w:jc w:val="center"/>
              <w:rPr>
                <w:rFonts w:ascii="仿宋" w:hAnsi="仿宋" w:eastAsia="仿宋" w:cs="仿宋"/>
                <w:sz w:val="21"/>
              </w:rPr>
            </w:pPr>
            <w:r>
              <w:rPr>
                <w:rFonts w:hint="eastAsia" w:ascii="仿宋" w:hAnsi="仿宋" w:eastAsia="仿宋" w:cs="仿宋"/>
                <w:sz w:val="21"/>
              </w:rPr>
              <w:t>校长二等</w:t>
            </w:r>
          </w:p>
        </w:tc>
        <w:tc>
          <w:tcPr>
            <w:tcW w:w="276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0E4510DC">
            <w:pPr>
              <w:pStyle w:val="6"/>
              <w:spacing w:beforeAutospacing="0" w:after="0" w:afterAutospacing="0"/>
              <w:ind w:firstLine="411"/>
              <w:rPr>
                <w:rFonts w:ascii="仿宋" w:hAnsi="仿宋" w:eastAsia="仿宋" w:cs="仿宋"/>
                <w:sz w:val="21"/>
              </w:rPr>
            </w:pPr>
          </w:p>
        </w:tc>
        <w:tc>
          <w:tcPr>
            <w:tcW w:w="1561" w:type="dxa"/>
            <w:vMerge w:val="continue"/>
            <w:tcBorders>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0027A34D">
            <w:pPr>
              <w:pStyle w:val="6"/>
              <w:spacing w:beforeAutospacing="0" w:after="0" w:afterAutospacing="0"/>
              <w:jc w:val="center"/>
              <w:rPr>
                <w:rFonts w:ascii="仿宋" w:hAnsi="仿宋" w:eastAsia="仿宋" w:cs="仿宋"/>
                <w:color w:val="0000FF"/>
                <w:sz w:val="21"/>
              </w:rPr>
            </w:pPr>
          </w:p>
        </w:tc>
        <w:tc>
          <w:tcPr>
            <w:tcW w:w="129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62A4B8AE">
            <w:pPr>
              <w:pStyle w:val="6"/>
              <w:spacing w:beforeAutospacing="0" w:after="0" w:afterAutospacing="0"/>
              <w:jc w:val="center"/>
              <w:rPr>
                <w:rFonts w:ascii="仿宋" w:hAnsi="仿宋" w:eastAsia="仿宋" w:cs="仿宋"/>
                <w:color w:val="0000FF"/>
                <w:sz w:val="21"/>
              </w:rPr>
            </w:pPr>
          </w:p>
        </w:tc>
        <w:tc>
          <w:tcPr>
            <w:tcW w:w="1504" w:type="dxa"/>
            <w:vMerge w:val="continue"/>
            <w:tcBorders>
              <w:left w:val="single" w:color="auto" w:sz="4" w:space="0"/>
              <w:right w:val="single" w:color="auto" w:sz="4" w:space="0"/>
            </w:tcBorders>
            <w:shd w:val="clear" w:color="auto" w:fill="FFFFFF"/>
            <w:tcMar>
              <w:top w:w="0" w:type="dxa"/>
              <w:left w:w="60" w:type="dxa"/>
              <w:bottom w:w="0" w:type="dxa"/>
              <w:right w:w="60" w:type="dxa"/>
            </w:tcMar>
            <w:vAlign w:val="center"/>
          </w:tcPr>
          <w:p w14:paraId="327EFAD8">
            <w:pPr>
              <w:pStyle w:val="6"/>
              <w:spacing w:beforeAutospacing="0" w:after="0" w:afterAutospacing="0"/>
              <w:jc w:val="center"/>
              <w:rPr>
                <w:rFonts w:ascii="仿宋" w:hAnsi="仿宋" w:eastAsia="仿宋" w:cs="仿宋"/>
                <w:color w:val="0000FF"/>
                <w:sz w:val="21"/>
              </w:rPr>
            </w:pPr>
          </w:p>
        </w:tc>
      </w:tr>
      <w:tr w14:paraId="1C954C14">
        <w:tblPrEx>
          <w:shd w:val="clear" w:color="auto" w:fill="FFFFFF"/>
          <w:tblCellMar>
            <w:top w:w="15" w:type="dxa"/>
            <w:left w:w="15" w:type="dxa"/>
            <w:bottom w:w="15" w:type="dxa"/>
            <w:right w:w="15" w:type="dxa"/>
          </w:tblCellMar>
        </w:tblPrEx>
        <w:trPr>
          <w:trHeight w:val="849" w:hRule="atLeast"/>
          <w:jc w:val="center"/>
        </w:trPr>
        <w:tc>
          <w:tcPr>
            <w:tcW w:w="1522"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49250E79">
            <w:pPr>
              <w:pStyle w:val="6"/>
              <w:spacing w:beforeAutospacing="0" w:after="0" w:afterAutospacing="0"/>
              <w:jc w:val="center"/>
              <w:rPr>
                <w:rFonts w:ascii="仿宋" w:hAnsi="仿宋" w:eastAsia="仿宋" w:cs="仿宋"/>
                <w:sz w:val="21"/>
              </w:rPr>
            </w:pPr>
            <w:r>
              <w:rPr>
                <w:rFonts w:hint="eastAsia" w:ascii="仿宋" w:hAnsi="仿宋" w:eastAsia="仿宋" w:cs="仿宋"/>
                <w:sz w:val="21"/>
              </w:rPr>
              <w:t>突出表现</w:t>
            </w:r>
          </w:p>
        </w:tc>
        <w:tc>
          <w:tcPr>
            <w:tcW w:w="276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4D45469C">
            <w:pPr>
              <w:pStyle w:val="6"/>
              <w:shd w:val="clear" w:color="auto" w:fill="FFFFFF"/>
              <w:spacing w:beforeAutospacing="0" w:after="0" w:afterAutospacing="0"/>
              <w:ind w:firstLine="420" w:firstLineChars="200"/>
              <w:rPr>
                <w:rFonts w:ascii="仿宋" w:hAnsi="仿宋" w:eastAsia="仿宋" w:cs="仿宋"/>
                <w:color w:val="333333"/>
                <w:sz w:val="21"/>
                <w:shd w:val="clear" w:color="auto" w:fill="FFFFFF"/>
              </w:rPr>
            </w:pPr>
            <w:r>
              <w:rPr>
                <w:rFonts w:hint="eastAsia" w:ascii="仿宋" w:hAnsi="仿宋" w:eastAsia="仿宋" w:cs="仿宋"/>
                <w:color w:val="333333"/>
                <w:sz w:val="21"/>
                <w:shd w:val="clear" w:color="auto" w:fill="FFFFFF"/>
              </w:rPr>
              <w:t>用于奖励在德、智、体、美、劳等方面有突出表现的研究生，比如见义勇为、防疫先进个人、社会工作表现突出、获得文体活动重大奖项等</w:t>
            </w:r>
          </w:p>
          <w:p w14:paraId="35A6332E">
            <w:pPr>
              <w:pStyle w:val="6"/>
              <w:spacing w:beforeAutospacing="0" w:after="0" w:afterAutospacing="0"/>
              <w:ind w:firstLine="411"/>
              <w:rPr>
                <w:rFonts w:ascii="仿宋" w:hAnsi="仿宋" w:eastAsia="仿宋" w:cs="仿宋"/>
                <w:sz w:val="21"/>
              </w:rPr>
            </w:pPr>
          </w:p>
        </w:tc>
        <w:tc>
          <w:tcPr>
            <w:tcW w:w="1561"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15F628E3">
            <w:pPr>
              <w:pStyle w:val="6"/>
              <w:spacing w:beforeAutospacing="0" w:after="0" w:afterAutospacing="0"/>
              <w:jc w:val="center"/>
              <w:rPr>
                <w:rFonts w:ascii="仿宋" w:hAnsi="仿宋" w:eastAsia="仿宋" w:cs="仿宋"/>
                <w:color w:val="0000FF"/>
                <w:sz w:val="21"/>
              </w:rPr>
            </w:pPr>
            <w:r>
              <w:rPr>
                <w:rFonts w:hint="eastAsia" w:ascii="仿宋" w:hAnsi="仿宋" w:eastAsia="仿宋" w:cs="仿宋"/>
                <w:sz w:val="21"/>
              </w:rPr>
              <w:t>全覆盖</w:t>
            </w:r>
          </w:p>
        </w:tc>
        <w:tc>
          <w:tcPr>
            <w:tcW w:w="1290" w:type="dxa"/>
            <w:tcBorders>
              <w:top w:val="single" w:color="auto" w:sz="4" w:space="0"/>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789A3161">
            <w:pPr>
              <w:pStyle w:val="6"/>
              <w:shd w:val="clear" w:color="auto" w:fill="FFFFFF"/>
              <w:spacing w:beforeAutospacing="0" w:after="0" w:afterAutospacing="0"/>
              <w:rPr>
                <w:rFonts w:ascii="仿宋" w:hAnsi="仿宋" w:eastAsia="仿宋" w:cs="仿宋"/>
                <w:color w:val="333333"/>
                <w:sz w:val="21"/>
                <w:shd w:val="clear" w:color="auto" w:fill="FFFFFF"/>
              </w:rPr>
            </w:pPr>
            <w:r>
              <w:rPr>
                <w:rFonts w:hint="eastAsia" w:ascii="仿宋" w:hAnsi="仿宋" w:eastAsia="仿宋" w:cs="仿宋"/>
                <w:color w:val="333333"/>
                <w:sz w:val="21"/>
                <w:shd w:val="clear" w:color="auto" w:fill="FFFFFF"/>
              </w:rPr>
              <w:t>通过民主评议后奖励每项2000元</w:t>
            </w:r>
          </w:p>
          <w:p w14:paraId="042CDB7D">
            <w:pPr>
              <w:pStyle w:val="6"/>
              <w:spacing w:beforeAutospacing="0" w:after="0" w:afterAutospacing="0"/>
              <w:jc w:val="center"/>
              <w:rPr>
                <w:rFonts w:ascii="仿宋" w:hAnsi="仿宋" w:eastAsia="仿宋" w:cs="仿宋"/>
                <w:color w:val="0000FF"/>
                <w:sz w:val="21"/>
              </w:rPr>
            </w:pPr>
          </w:p>
        </w:tc>
        <w:tc>
          <w:tcPr>
            <w:tcW w:w="1504" w:type="dxa"/>
            <w:vMerge w:val="continue"/>
            <w:tcBorders>
              <w:left w:val="single" w:color="auto" w:sz="4" w:space="0"/>
              <w:bottom w:val="single" w:color="auto" w:sz="4" w:space="0"/>
              <w:right w:val="single" w:color="auto" w:sz="4" w:space="0"/>
            </w:tcBorders>
            <w:shd w:val="clear" w:color="auto" w:fill="FFFFFF"/>
            <w:tcMar>
              <w:top w:w="0" w:type="dxa"/>
              <w:left w:w="60" w:type="dxa"/>
              <w:bottom w:w="0" w:type="dxa"/>
              <w:right w:w="60" w:type="dxa"/>
            </w:tcMar>
            <w:vAlign w:val="center"/>
          </w:tcPr>
          <w:p w14:paraId="35F4A90C">
            <w:pPr>
              <w:pStyle w:val="6"/>
              <w:spacing w:beforeAutospacing="0" w:after="0" w:afterAutospacing="0"/>
              <w:jc w:val="center"/>
              <w:rPr>
                <w:rFonts w:ascii="仿宋" w:hAnsi="仿宋" w:eastAsia="仿宋" w:cs="仿宋"/>
                <w:color w:val="0000FF"/>
                <w:sz w:val="21"/>
              </w:rPr>
            </w:pPr>
          </w:p>
        </w:tc>
      </w:tr>
    </w:tbl>
    <w:p w14:paraId="4DD4FDFD">
      <w:pPr>
        <w:spacing w:before="100" w:line="500" w:lineRule="exact"/>
        <w:ind w:left="646"/>
        <w:jc w:val="both"/>
        <w:rPr>
          <w:rFonts w:ascii="仿宋" w:hAnsi="仿宋" w:eastAsia="仿宋" w:cs="仿宋"/>
          <w:spacing w:val="9"/>
          <w:sz w:val="31"/>
          <w:szCs w:val="31"/>
          <w:lang w:eastAsia="zh-CN"/>
        </w:rPr>
      </w:pPr>
    </w:p>
    <w:p w14:paraId="6B44B934">
      <w:pPr>
        <w:numPr>
          <w:ilvl w:val="0"/>
          <w:numId w:val="1"/>
        </w:numPr>
        <w:spacing w:before="100" w:line="500" w:lineRule="exact"/>
        <w:ind w:left="0"/>
        <w:rPr>
          <w:rFonts w:ascii="仿宋" w:hAnsi="仿宋" w:eastAsia="仿宋" w:cs="仿宋"/>
          <w:spacing w:val="5"/>
          <w:sz w:val="31"/>
          <w:szCs w:val="31"/>
          <w:lang w:eastAsia="zh-CN"/>
        </w:rPr>
      </w:pPr>
      <w:r>
        <w:rPr>
          <w:rFonts w:ascii="仿宋" w:hAnsi="仿宋" w:eastAsia="仿宋" w:cs="仿宋"/>
          <w:spacing w:val="5"/>
          <w:sz w:val="31"/>
          <w:szCs w:val="31"/>
          <w:lang w:eastAsia="zh-CN"/>
        </w:rPr>
        <w:t>学院成立硕士研究生奖助学金评审委员会，由 党委 书记担任主任委员，院长和</w:t>
      </w:r>
      <w:r>
        <w:rPr>
          <w:rFonts w:ascii="仿宋" w:hAnsi="仿宋" w:eastAsia="仿宋" w:cs="仿宋"/>
          <w:spacing w:val="5"/>
          <w:sz w:val="31"/>
          <w:szCs w:val="31"/>
          <w:highlight w:val="none"/>
          <w:lang w:eastAsia="zh-CN"/>
        </w:rPr>
        <w:t>主管</w:t>
      </w:r>
      <w:r>
        <w:rPr>
          <w:rFonts w:hint="eastAsia" w:ascii="仿宋" w:hAnsi="仿宋" w:eastAsia="仿宋" w:cs="仿宋"/>
          <w:spacing w:val="5"/>
          <w:sz w:val="31"/>
          <w:szCs w:val="31"/>
          <w:highlight w:val="none"/>
          <w:lang w:eastAsia="zh-CN"/>
        </w:rPr>
        <w:t>（分管）</w:t>
      </w:r>
      <w:r>
        <w:rPr>
          <w:rFonts w:ascii="仿宋" w:hAnsi="仿宋" w:eastAsia="仿宋" w:cs="仿宋"/>
          <w:spacing w:val="5"/>
          <w:sz w:val="31"/>
          <w:szCs w:val="31"/>
          <w:highlight w:val="none"/>
          <w:lang w:eastAsia="zh-CN"/>
        </w:rPr>
        <w:t>院长、导师代表</w:t>
      </w:r>
      <w:r>
        <w:rPr>
          <w:rFonts w:hint="eastAsia" w:ascii="仿宋" w:hAnsi="仿宋" w:eastAsia="仿宋" w:cs="仿宋"/>
          <w:spacing w:val="5"/>
          <w:sz w:val="31"/>
          <w:szCs w:val="31"/>
          <w:highlight w:val="none"/>
          <w:lang w:eastAsia="zh-CN"/>
        </w:rPr>
        <w:t>（9人）</w:t>
      </w:r>
      <w:r>
        <w:rPr>
          <w:rFonts w:ascii="仿宋" w:hAnsi="仿宋" w:eastAsia="仿宋" w:cs="仿宋"/>
          <w:spacing w:val="5"/>
          <w:sz w:val="31"/>
          <w:szCs w:val="31"/>
          <w:highlight w:val="none"/>
          <w:lang w:eastAsia="zh-CN"/>
        </w:rPr>
        <w:t>、行政管理人员</w:t>
      </w:r>
      <w:r>
        <w:rPr>
          <w:rFonts w:hint="eastAsia" w:ascii="仿宋" w:hAnsi="仿宋" w:eastAsia="仿宋" w:cs="仿宋"/>
          <w:spacing w:val="5"/>
          <w:sz w:val="31"/>
          <w:szCs w:val="31"/>
          <w:highlight w:val="none"/>
          <w:lang w:eastAsia="zh-CN"/>
        </w:rPr>
        <w:t>（1人）</w:t>
      </w:r>
      <w:r>
        <w:rPr>
          <w:rFonts w:ascii="仿宋" w:hAnsi="仿宋" w:eastAsia="仿宋" w:cs="仿宋"/>
          <w:spacing w:val="5"/>
          <w:sz w:val="31"/>
          <w:szCs w:val="31"/>
          <w:highlight w:val="none"/>
          <w:lang w:eastAsia="zh-CN"/>
        </w:rPr>
        <w:t>、学生代表</w:t>
      </w:r>
      <w:r>
        <w:rPr>
          <w:rFonts w:hint="eastAsia" w:ascii="仿宋" w:hAnsi="仿宋" w:eastAsia="仿宋" w:cs="仿宋"/>
          <w:spacing w:val="5"/>
          <w:sz w:val="31"/>
          <w:szCs w:val="31"/>
          <w:highlight w:val="none"/>
          <w:lang w:eastAsia="zh-CN"/>
        </w:rPr>
        <w:t>（学</w:t>
      </w:r>
      <w:r>
        <w:rPr>
          <w:rFonts w:hint="eastAsia" w:ascii="仿宋" w:hAnsi="仿宋" w:eastAsia="仿宋" w:cs="仿宋"/>
          <w:spacing w:val="9"/>
          <w:kern w:val="0"/>
          <w:sz w:val="31"/>
          <w:szCs w:val="31"/>
          <w:highlight w:val="none"/>
          <w:lang w:eastAsia="zh-CN"/>
        </w:rPr>
        <w:t>术</w:t>
      </w:r>
      <w:r>
        <w:rPr>
          <w:rFonts w:hint="eastAsia" w:ascii="仿宋" w:hAnsi="仿宋" w:eastAsia="仿宋" w:cs="仿宋"/>
          <w:spacing w:val="9"/>
          <w:sz w:val="31"/>
          <w:szCs w:val="31"/>
          <w:highlight w:val="none"/>
          <w:lang w:eastAsia="zh-CN"/>
        </w:rPr>
        <w:t>（硕）</w:t>
      </w:r>
      <w:r>
        <w:rPr>
          <w:rFonts w:hint="eastAsia" w:ascii="仿宋" w:hAnsi="仿宋" w:eastAsia="仿宋" w:cs="仿宋"/>
          <w:spacing w:val="5"/>
          <w:sz w:val="31"/>
          <w:szCs w:val="31"/>
          <w:highlight w:val="none"/>
          <w:lang w:eastAsia="zh-CN"/>
        </w:rPr>
        <w:t>1人，专硕1人）</w:t>
      </w:r>
      <w:r>
        <w:rPr>
          <w:rFonts w:ascii="仿宋" w:hAnsi="仿宋" w:eastAsia="仿宋" w:cs="仿宋"/>
          <w:spacing w:val="5"/>
          <w:sz w:val="31"/>
          <w:szCs w:val="31"/>
          <w:highlight w:val="none"/>
          <w:lang w:eastAsia="zh-CN"/>
        </w:rPr>
        <w:t>任</w:t>
      </w:r>
      <w:r>
        <w:rPr>
          <w:rFonts w:ascii="仿宋" w:hAnsi="仿宋" w:eastAsia="仿宋" w:cs="仿宋"/>
          <w:spacing w:val="5"/>
          <w:sz w:val="31"/>
          <w:szCs w:val="31"/>
          <w:lang w:eastAsia="zh-CN"/>
        </w:rPr>
        <w:t>委员，导师代表数不得低于委员会总人数的 60%，学生代表全程监督不参与投票。委员会负责制定各类奖助学金的相关评审细则，开展组织申报、初评答辩、公示答疑、资料上报和受理申诉等事宜</w:t>
      </w:r>
    </w:p>
    <w:p w14:paraId="249C8815">
      <w:pPr>
        <w:numPr>
          <w:ilvl w:val="0"/>
          <w:numId w:val="1"/>
        </w:numPr>
        <w:spacing w:before="100" w:line="500" w:lineRule="exact"/>
        <w:ind w:left="0"/>
        <w:rPr>
          <w:rFonts w:ascii="仿宋" w:hAnsi="仿宋" w:eastAsia="仿宋" w:cs="仿宋"/>
          <w:spacing w:val="5"/>
          <w:sz w:val="31"/>
          <w:szCs w:val="31"/>
          <w:lang w:eastAsia="zh-CN"/>
        </w:rPr>
      </w:pPr>
      <w:r>
        <w:rPr>
          <w:rFonts w:ascii="仿宋" w:hAnsi="仿宋" w:eastAsia="仿宋" w:cs="仿宋"/>
          <w:spacing w:val="5"/>
          <w:sz w:val="31"/>
          <w:szCs w:val="31"/>
          <w:lang w:eastAsia="zh-CN"/>
        </w:rPr>
        <w:t>按照“学生申请、导师推荐、研究生 培养单位初评、学校审核、学校审定”的程序进行评审。</w:t>
      </w:r>
    </w:p>
    <w:p w14:paraId="1925DFE6">
      <w:pPr>
        <w:numPr>
          <w:ilvl w:val="2"/>
          <w:numId w:val="1"/>
        </w:numPr>
        <w:spacing w:before="100" w:line="500" w:lineRule="exact"/>
        <w:rPr>
          <w:rFonts w:ascii="仿宋" w:hAnsi="仿宋" w:eastAsia="仿宋" w:cs="仿宋"/>
          <w:spacing w:val="8"/>
          <w:sz w:val="31"/>
          <w:szCs w:val="31"/>
          <w:lang w:eastAsia="zh-CN"/>
        </w:rPr>
      </w:pPr>
      <w:r>
        <w:rPr>
          <w:rFonts w:ascii="仿宋" w:hAnsi="仿宋" w:eastAsia="仿宋" w:cs="仿宋"/>
          <w:spacing w:val="8"/>
          <w:sz w:val="31"/>
          <w:szCs w:val="31"/>
          <w:lang w:eastAsia="zh-CN"/>
        </w:rPr>
        <w:t>学生申请：符合申请条件的研究生提出申请，并提供 相关证明材料。</w:t>
      </w:r>
    </w:p>
    <w:p w14:paraId="0B6EB3A2">
      <w:pPr>
        <w:numPr>
          <w:ilvl w:val="2"/>
          <w:numId w:val="1"/>
        </w:numPr>
        <w:spacing w:before="100" w:line="500" w:lineRule="exact"/>
        <w:rPr>
          <w:rFonts w:ascii="仿宋" w:hAnsi="仿宋" w:eastAsia="仿宋" w:cs="仿宋"/>
          <w:spacing w:val="8"/>
          <w:sz w:val="31"/>
          <w:szCs w:val="31"/>
          <w:lang w:eastAsia="zh-CN"/>
        </w:rPr>
      </w:pPr>
      <w:r>
        <w:rPr>
          <w:rFonts w:ascii="仿宋" w:hAnsi="仿宋" w:eastAsia="仿宋" w:cs="仿宋"/>
          <w:spacing w:val="8"/>
          <w:sz w:val="31"/>
          <w:szCs w:val="31"/>
          <w:lang w:eastAsia="zh-CN"/>
        </w:rPr>
        <w:t>导师推荐：导师根据学校相关文件及所在研究生培养 单位实施细则，对研究生的申请进行审核评价，明确表示是否推荐其参加评选</w:t>
      </w:r>
      <w:r>
        <w:rPr>
          <w:rFonts w:hint="eastAsia" w:ascii="仿宋" w:hAnsi="仿宋" w:eastAsia="仿宋" w:cs="仿宋"/>
          <w:spacing w:val="8"/>
          <w:sz w:val="31"/>
          <w:szCs w:val="31"/>
          <w:lang w:eastAsia="zh-CN"/>
        </w:rPr>
        <w:t>，并对成果签字确认</w:t>
      </w:r>
      <w:r>
        <w:rPr>
          <w:rFonts w:ascii="仿宋" w:hAnsi="仿宋" w:eastAsia="仿宋" w:cs="仿宋"/>
          <w:spacing w:val="8"/>
          <w:sz w:val="31"/>
          <w:szCs w:val="31"/>
          <w:lang w:eastAsia="zh-CN"/>
        </w:rPr>
        <w:t>。</w:t>
      </w:r>
    </w:p>
    <w:p w14:paraId="5236F669">
      <w:pPr>
        <w:numPr>
          <w:ilvl w:val="2"/>
          <w:numId w:val="1"/>
        </w:numPr>
        <w:spacing w:before="100" w:line="500" w:lineRule="exact"/>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学院</w:t>
      </w:r>
      <w:r>
        <w:rPr>
          <w:rFonts w:ascii="仿宋" w:hAnsi="仿宋" w:eastAsia="仿宋" w:cs="仿宋"/>
          <w:spacing w:val="8"/>
          <w:sz w:val="31"/>
          <w:szCs w:val="31"/>
          <w:lang w:eastAsia="zh-CN"/>
        </w:rPr>
        <w:t>评审工作组对研究生参评材料进行审核与初评，按照学校下达的指标等额评选出拟获奖研究生并公示名单，公示时间不少于 5 个工作日。</w:t>
      </w:r>
    </w:p>
    <w:p w14:paraId="20C79159">
      <w:pPr>
        <w:numPr>
          <w:ilvl w:val="2"/>
          <w:numId w:val="1"/>
        </w:numPr>
        <w:spacing w:before="100" w:line="500" w:lineRule="exact"/>
        <w:rPr>
          <w:rFonts w:ascii="仿宋" w:hAnsi="仿宋" w:eastAsia="仿宋" w:cs="仿宋"/>
          <w:spacing w:val="8"/>
          <w:sz w:val="31"/>
          <w:szCs w:val="31"/>
          <w:lang w:eastAsia="zh-CN"/>
        </w:rPr>
      </w:pPr>
      <w:r>
        <w:rPr>
          <w:rFonts w:ascii="仿宋" w:hAnsi="仿宋" w:eastAsia="仿宋" w:cs="仿宋"/>
          <w:spacing w:val="8"/>
          <w:sz w:val="31"/>
          <w:szCs w:val="31"/>
          <w:lang w:eastAsia="zh-CN"/>
        </w:rPr>
        <w:t>学校审核、审定：各研究生培养单位的初评结果经公示无异议后，提交学校研究生奖助学金评审工作领导小组审核， 并面向全校进行不少于5个工作日的公示，再确定最终人选。学 校审核、审定时，发现拟获奖研究生参评材料未达到规定的申请条件，或有作假情形的，取消其拟获奖资格，其名额由学校研究生奖助学金评审工作办公室重新统筹安排。</w:t>
      </w:r>
    </w:p>
    <w:p w14:paraId="1C1FBE4D">
      <w:pPr>
        <w:numPr>
          <w:ilvl w:val="0"/>
          <w:numId w:val="1"/>
        </w:numPr>
        <w:spacing w:before="100" w:line="500" w:lineRule="exact"/>
        <w:ind w:left="0"/>
        <w:rPr>
          <w:rFonts w:ascii="仿宋" w:hAnsi="仿宋" w:eastAsia="仿宋" w:cs="仿宋"/>
          <w:spacing w:val="16"/>
          <w:sz w:val="31"/>
          <w:szCs w:val="31"/>
          <w:lang w:eastAsia="zh-CN"/>
        </w:rPr>
      </w:pPr>
      <w:r>
        <w:rPr>
          <w:rFonts w:hint="eastAsia" w:ascii="仿宋" w:hAnsi="仿宋" w:eastAsia="仿宋" w:cs="仿宋"/>
          <w:spacing w:val="16"/>
          <w:sz w:val="31"/>
          <w:szCs w:val="31"/>
          <w:lang w:eastAsia="zh-CN"/>
        </w:rPr>
        <w:t xml:space="preserve">校长奖学金的评选采用计分制进行，综合成绩由德育成绩、课程成绩、科研成绩及扣分四部分构成。计分公式为： </w:t>
      </w:r>
    </w:p>
    <w:p w14:paraId="699A6288">
      <w:pPr>
        <w:pStyle w:val="3"/>
        <w:spacing w:before="100" w:line="500" w:lineRule="exact"/>
        <w:ind w:firstLine="634"/>
        <w:jc w:val="both"/>
        <w:rPr>
          <w:rFonts w:hint="eastAsia"/>
          <w:color w:val="000000" w:themeColor="text1"/>
          <w:spacing w:val="16"/>
          <w:lang w:eastAsia="zh-CN"/>
          <w14:textFill>
            <w14:solidFill>
              <w14:schemeClr w14:val="tx1"/>
            </w14:solidFill>
          </w14:textFill>
        </w:rPr>
      </w:pPr>
      <w:r>
        <w:rPr>
          <w:rFonts w:hint="eastAsia"/>
          <w:color w:val="000000" w:themeColor="text1"/>
          <w:spacing w:val="16"/>
          <w:lang w:eastAsia="zh-CN"/>
          <w14:textFill>
            <w14:solidFill>
              <w14:schemeClr w14:val="tx1"/>
            </w14:solidFill>
          </w14:textFill>
        </w:rPr>
        <w:t xml:space="preserve">二年级综合成绩 = 德育成绩+课程成绩+扣分 </w:t>
      </w:r>
    </w:p>
    <w:p w14:paraId="4326D673">
      <w:pPr>
        <w:pStyle w:val="3"/>
        <w:spacing w:before="100" w:line="500" w:lineRule="exact"/>
        <w:ind w:firstLine="634"/>
        <w:jc w:val="both"/>
        <w:rPr>
          <w:color w:val="000000" w:themeColor="text1"/>
          <w:spacing w:val="16"/>
          <w:lang w:eastAsia="zh-CN"/>
          <w14:textFill>
            <w14:solidFill>
              <w14:schemeClr w14:val="tx1"/>
            </w14:solidFill>
          </w14:textFill>
        </w:rPr>
      </w:pPr>
      <w:r>
        <w:rPr>
          <w:rFonts w:hint="eastAsia"/>
          <w:color w:val="000000" w:themeColor="text1"/>
          <w:spacing w:val="16"/>
          <w:lang w:eastAsia="zh-CN"/>
          <w14:textFill>
            <w14:solidFill>
              <w14:schemeClr w14:val="tx1"/>
            </w14:solidFill>
          </w14:textFill>
        </w:rPr>
        <w:t>三年级综合成绩 = 德育成绩+科研成绩+扣分</w:t>
      </w:r>
    </w:p>
    <w:p w14:paraId="639BC9DC">
      <w:pPr>
        <w:numPr>
          <w:ilvl w:val="2"/>
          <w:numId w:val="1"/>
        </w:numPr>
        <w:spacing w:before="100" w:line="500" w:lineRule="exact"/>
        <w:rPr>
          <w:rFonts w:ascii="仿宋" w:hAnsi="仿宋" w:eastAsia="仿宋" w:cs="仿宋"/>
          <w:color w:val="000000" w:themeColor="text1"/>
          <w:spacing w:val="8"/>
          <w:sz w:val="31"/>
          <w:szCs w:val="31"/>
          <w:lang w:eastAsia="zh-CN"/>
          <w14:textFill>
            <w14:solidFill>
              <w14:schemeClr w14:val="tx1"/>
            </w14:solidFill>
          </w14:textFill>
        </w:rPr>
      </w:pPr>
      <w:r>
        <w:rPr>
          <w:rFonts w:hint="eastAsia" w:ascii="仿宋" w:hAnsi="仿宋" w:eastAsia="仿宋" w:cs="仿宋"/>
          <w:color w:val="000000" w:themeColor="text1"/>
          <w:spacing w:val="8"/>
          <w:sz w:val="31"/>
          <w:szCs w:val="31"/>
          <w:lang w:eastAsia="zh-CN"/>
          <w14:textFill>
            <w14:solidFill>
              <w14:schemeClr w14:val="tx1"/>
            </w14:solidFill>
          </w14:textFill>
        </w:rPr>
        <w:t xml:space="preserve">德育成绩 </w:t>
      </w:r>
    </w:p>
    <w:p w14:paraId="3C9C1180">
      <w:pPr>
        <w:spacing w:before="100" w:line="500" w:lineRule="exact"/>
        <w:ind w:firstLine="652" w:firstLineChars="200"/>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德育成绩考核学生遵守国家法律法规和学校规章制度的情况以及是否积极参与有益的社会活动，集体意识强，积极参加学术论坛等学术活动，满分</w:t>
      </w:r>
      <w:r>
        <w:rPr>
          <w:rFonts w:hint="eastAsia" w:ascii="仿宋" w:hAnsi="仿宋" w:eastAsia="仿宋" w:cs="仿宋"/>
          <w:color w:val="000000" w:themeColor="text1"/>
          <w:spacing w:val="8"/>
          <w:sz w:val="31"/>
          <w:szCs w:val="31"/>
          <w:lang w:eastAsia="zh-CN"/>
          <w14:textFill>
            <w14:solidFill>
              <w14:schemeClr w14:val="tx1"/>
            </w14:solidFill>
          </w14:textFill>
        </w:rPr>
        <w:t>20</w:t>
      </w:r>
      <w:r>
        <w:rPr>
          <w:rFonts w:hint="eastAsia" w:ascii="仿宋" w:hAnsi="仿宋" w:eastAsia="仿宋" w:cs="仿宋"/>
          <w:spacing w:val="8"/>
          <w:sz w:val="31"/>
          <w:szCs w:val="31"/>
          <w:lang w:eastAsia="zh-CN"/>
        </w:rPr>
        <w:t>分。</w:t>
      </w:r>
    </w:p>
    <w:p w14:paraId="304EEFEC">
      <w:pPr>
        <w:numPr>
          <w:ilvl w:val="2"/>
          <w:numId w:val="1"/>
        </w:numPr>
        <w:spacing w:before="100" w:line="500" w:lineRule="exact"/>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 xml:space="preserve">课程成绩 </w:t>
      </w:r>
    </w:p>
    <w:p w14:paraId="1EF50497">
      <w:pPr>
        <w:spacing w:before="100" w:line="500" w:lineRule="exact"/>
        <w:ind w:firstLine="656" w:firstLineChars="200"/>
        <w:rPr>
          <w:rFonts w:ascii="仿宋" w:hAnsi="仿宋" w:eastAsia="仿宋" w:cs="仿宋"/>
          <w:spacing w:val="8"/>
          <w:sz w:val="31"/>
          <w:szCs w:val="31"/>
          <w:lang w:eastAsia="zh-CN"/>
        </w:rPr>
      </w:pPr>
      <w:r>
        <w:rPr>
          <w:rFonts w:hint="eastAsia" w:ascii="仿宋" w:hAnsi="仿宋" w:eastAsia="仿宋" w:cs="仿宋"/>
          <w:spacing w:val="9"/>
          <w:kern w:val="0"/>
          <w:sz w:val="31"/>
          <w:szCs w:val="31"/>
          <w:lang w:eastAsia="zh-CN"/>
        </w:rPr>
        <w:t>课程成绩考核学生完成规定课程学习的情况，全部课程成绩以研究生信息管理系统中的分数为准，依次按照平均绩点、课程算数平均成绩（所有课程总分/总课程数）、专业必修课算术平均成绩（所有专业必修课总分/总课程数）、专业选修课平均成绩（所有专业选修课总分/总课程数）、英语成绩排序。</w:t>
      </w:r>
    </w:p>
    <w:p w14:paraId="501B2555">
      <w:pPr>
        <w:numPr>
          <w:ilvl w:val="2"/>
          <w:numId w:val="1"/>
        </w:numPr>
        <w:spacing w:before="100" w:line="500" w:lineRule="exact"/>
        <w:rPr>
          <w:rFonts w:ascii="仿宋" w:hAnsi="仿宋" w:eastAsia="仿宋" w:cs="仿宋"/>
          <w:spacing w:val="8"/>
          <w:sz w:val="31"/>
          <w:szCs w:val="31"/>
        </w:rPr>
      </w:pPr>
      <w:r>
        <w:rPr>
          <w:rFonts w:hint="eastAsia" w:ascii="仿宋" w:hAnsi="仿宋" w:eastAsia="仿宋" w:cs="仿宋"/>
          <w:spacing w:val="8"/>
          <w:sz w:val="31"/>
          <w:szCs w:val="31"/>
          <w:lang w:eastAsia="zh-CN"/>
        </w:rPr>
        <w:t>科研成绩</w:t>
      </w:r>
    </w:p>
    <w:p w14:paraId="3801E8E6">
      <w:pPr>
        <w:spacing w:before="100" w:line="500" w:lineRule="exact"/>
        <w:ind w:firstLine="652" w:firstLineChars="200"/>
        <w:rPr>
          <w:rFonts w:ascii="仿宋" w:hAnsi="仿宋" w:eastAsia="仿宋" w:cs="仿宋"/>
          <w:spacing w:val="8"/>
          <w:sz w:val="31"/>
          <w:szCs w:val="31"/>
          <w:lang w:eastAsia="zh-CN"/>
        </w:rPr>
      </w:pPr>
      <w:r>
        <w:rPr>
          <w:rFonts w:hint="eastAsia" w:ascii="仿宋" w:hAnsi="仿宋" w:eastAsia="仿宋" w:cs="仿宋"/>
          <w:spacing w:val="8"/>
          <w:sz w:val="31"/>
          <w:szCs w:val="31"/>
          <w:lang w:eastAsia="zh-CN"/>
        </w:rPr>
        <w:t>科研成绩考核学生在校期间的学术研究成果，包括参与项目、科研论文、知识产权、学科竞赛、科研获奖等，成果所属单位必须为四川师范大学。科研成绩具体分值按照《研究生奖学金科研成绩量化计分标准》（</w:t>
      </w:r>
      <w:r>
        <w:rPr>
          <w:rFonts w:hint="eastAsia" w:ascii="仿宋" w:hAnsi="仿宋" w:eastAsia="仿宋" w:cs="仿宋"/>
          <w:spacing w:val="9"/>
          <w:kern w:val="0"/>
          <w:sz w:val="31"/>
          <w:szCs w:val="31"/>
          <w:lang w:eastAsia="zh-CN"/>
        </w:rPr>
        <w:t>以评审通知发布时的为准</w:t>
      </w:r>
      <w:r>
        <w:rPr>
          <w:rFonts w:hint="eastAsia" w:ascii="仿宋" w:hAnsi="仿宋" w:eastAsia="仿宋" w:cs="仿宋"/>
          <w:spacing w:val="8"/>
          <w:sz w:val="31"/>
          <w:szCs w:val="31"/>
          <w:lang w:eastAsia="zh-CN"/>
        </w:rPr>
        <w:t>）进行计算。</w:t>
      </w:r>
    </w:p>
    <w:p w14:paraId="7C2F0460">
      <w:pPr>
        <w:numPr>
          <w:ilvl w:val="0"/>
          <w:numId w:val="1"/>
        </w:numPr>
        <w:spacing w:before="100" w:line="500" w:lineRule="exact"/>
        <w:ind w:left="0"/>
        <w:rPr>
          <w:rFonts w:ascii="仿宋" w:hAnsi="仿宋" w:eastAsia="仿宋" w:cs="仿宋"/>
          <w:spacing w:val="3"/>
          <w:lang w:eastAsia="zh-CN"/>
        </w:rPr>
      </w:pPr>
      <w:r>
        <w:rPr>
          <w:rFonts w:hint="eastAsia" w:ascii="仿宋" w:hAnsi="仿宋" w:eastAsia="仿宋" w:cs="仿宋"/>
          <w:b/>
          <w:bCs/>
          <w:spacing w:val="-4"/>
          <w:lang w:eastAsia="zh-CN"/>
        </w:rPr>
        <w:t xml:space="preserve"> </w:t>
      </w:r>
      <w:r>
        <w:rPr>
          <w:rFonts w:hint="eastAsia" w:ascii="仿宋" w:hAnsi="仿宋" w:eastAsia="仿宋" w:cs="仿宋"/>
          <w:spacing w:val="16"/>
          <w:sz w:val="31"/>
          <w:szCs w:val="31"/>
          <w:lang w:eastAsia="zh-CN"/>
        </w:rPr>
        <w:t>符合条件的硕士研究生在规定时间内，向学院学生工作办公室提交申请，未按时提交的，视为放弃参评资格，学院学生工作办公室负责审查申请人资格和提交材料情况。若候选学生综合素质成绩核定分值相同，由硕士研究生奖助学金评审委员会投票确定最终名单。</w:t>
      </w:r>
    </w:p>
    <w:p w14:paraId="54F5B7E9">
      <w:pPr>
        <w:numPr>
          <w:ilvl w:val="0"/>
          <w:numId w:val="1"/>
        </w:numPr>
        <w:spacing w:before="100" w:line="500" w:lineRule="exact"/>
        <w:ind w:left="0"/>
        <w:rPr>
          <w:rFonts w:ascii="仿宋" w:hAnsi="仿宋" w:eastAsia="仿宋" w:cs="仿宋"/>
          <w:lang w:eastAsia="zh-CN"/>
        </w:rPr>
      </w:pPr>
      <w:r>
        <w:rPr>
          <w:rFonts w:hint="eastAsia" w:ascii="仿宋" w:hAnsi="仿宋" w:eastAsia="仿宋" w:cs="仿宋"/>
          <w:spacing w:val="16"/>
          <w:sz w:val="31"/>
          <w:szCs w:val="31"/>
          <w:lang w:eastAsia="zh-CN"/>
        </w:rPr>
        <w:t>本细则</w:t>
      </w:r>
      <w:r>
        <w:rPr>
          <w:rFonts w:hint="eastAsia" w:ascii="仿宋" w:hAnsi="仿宋" w:eastAsia="仿宋" w:cs="仿宋"/>
          <w:spacing w:val="16"/>
          <w:sz w:val="31"/>
          <w:szCs w:val="31"/>
          <w:highlight w:val="none"/>
          <w:lang w:eastAsia="zh-CN"/>
        </w:rPr>
        <w:t>自2</w:t>
      </w:r>
      <w:r>
        <w:rPr>
          <w:rFonts w:ascii="仿宋" w:hAnsi="仿宋" w:eastAsia="仿宋" w:cs="仿宋"/>
          <w:spacing w:val="16"/>
          <w:sz w:val="31"/>
          <w:szCs w:val="31"/>
          <w:highlight w:val="none"/>
          <w:lang w:eastAsia="zh-CN"/>
        </w:rPr>
        <w:t>026</w:t>
      </w:r>
      <w:r>
        <w:rPr>
          <w:rFonts w:hint="eastAsia" w:ascii="仿宋" w:hAnsi="仿宋" w:eastAsia="仿宋" w:cs="仿宋"/>
          <w:spacing w:val="16"/>
          <w:sz w:val="31"/>
          <w:szCs w:val="31"/>
          <w:lang w:eastAsia="zh-CN"/>
        </w:rPr>
        <w:t>年9月1日起施行，原《计算机科学学院研究生奖助学金评审实施细则》同时废止。由四川师范大学计算机科学学院硕士研究生奖助学金评审委员会负责解释。</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9C692">
    <w:pPr>
      <w:spacing w:line="233" w:lineRule="auto"/>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4"/>
        <w:sz w:val="28"/>
        <w:szCs w:val="28"/>
      </w:rPr>
      <w:t xml:space="preserve"> </w:t>
    </w:r>
    <w:r>
      <w:rPr>
        <w:rFonts w:ascii="宋体" w:hAnsi="宋体" w:eastAsia="宋体" w:cs="宋体"/>
        <w:spacing w:val="-7"/>
        <w:sz w:val="28"/>
        <w:szCs w:val="28"/>
      </w:rPr>
      <w:t>6</w:t>
    </w:r>
    <w:r>
      <w:rPr>
        <w:rFonts w:ascii="宋体" w:hAnsi="宋体" w:eastAsia="宋体" w:cs="宋体"/>
        <w:spacing w:val="11"/>
        <w:sz w:val="28"/>
        <w:szCs w:val="28"/>
      </w:rPr>
      <w:t xml:space="preserve"> </w:t>
    </w:r>
    <w:r>
      <w:rPr>
        <w:rFonts w:ascii="宋体" w:hAnsi="宋体" w:eastAsia="宋体" w:cs="宋体"/>
        <w:spacing w:val="-7"/>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31F920"/>
    <w:multiLevelType w:val="multilevel"/>
    <w:tmpl w:val="0D31F920"/>
    <w:lvl w:ilvl="0" w:tentative="0">
      <w:start w:val="1"/>
      <w:numFmt w:val="chineseCounting"/>
      <w:suff w:val="space"/>
      <w:lvlText w:val="第%1条"/>
      <w:lvlJc w:val="left"/>
      <w:pPr>
        <w:ind w:left="11" w:firstLine="646"/>
      </w:pPr>
      <w:rPr>
        <w:rFonts w:hint="eastAsia" w:ascii="仿宋" w:hAnsi="仿宋" w:eastAsia="仿宋" w:cs="仿宋"/>
        <w:b/>
        <w:bCs/>
        <w:sz w:val="32"/>
        <w:szCs w:val="32"/>
      </w:rPr>
    </w:lvl>
    <w:lvl w:ilvl="1" w:tentative="0">
      <w:start w:val="1"/>
      <w:numFmt w:val="chineseCounting"/>
      <w:suff w:val="nothing"/>
      <w:lvlText w:val="%2、"/>
      <w:lvlJc w:val="left"/>
      <w:pPr>
        <w:ind w:left="0" w:firstLine="0"/>
      </w:pPr>
      <w:rPr>
        <w:rFonts w:hint="eastAsia" w:ascii="仿宋" w:hAnsi="仿宋" w:eastAsia="仿宋" w:cs="仿宋"/>
        <w:b/>
        <w:bCs/>
        <w:sz w:val="32"/>
        <w:szCs w:val="32"/>
      </w:rPr>
    </w:lvl>
    <w:lvl w:ilvl="2" w:tentative="0">
      <w:start w:val="1"/>
      <w:numFmt w:val="chineseCounting"/>
      <w:suff w:val="nothing"/>
      <w:lvlText w:val="（%3）"/>
      <w:lvlJc w:val="left"/>
      <w:pPr>
        <w:ind w:left="0" w:firstLine="567"/>
      </w:pPr>
      <w:rPr>
        <w:rFonts w:hint="eastAsia" w:ascii="仿宋" w:hAnsi="仿宋" w:eastAsia="仿宋" w:cs="仿宋"/>
        <w:b/>
        <w:bCs/>
        <w:sz w:val="28"/>
        <w:szCs w:val="28"/>
      </w:rPr>
    </w:lvl>
    <w:lvl w:ilvl="3" w:tentative="0">
      <w:start w:val="1"/>
      <w:numFmt w:val="decimal"/>
      <w:suff w:val="nothing"/>
      <w:lvlText w:val="%4．"/>
      <w:lvlJc w:val="left"/>
      <w:pPr>
        <w:ind w:left="0" w:firstLine="0"/>
      </w:pPr>
      <w:rPr>
        <w:rFonts w:hint="eastAsia" w:ascii="仿宋" w:hAnsi="仿宋" w:eastAsia="仿宋" w:cs="仿宋"/>
        <w:b/>
        <w:bCs/>
        <w:sz w:val="32"/>
        <w:szCs w:val="32"/>
      </w:rPr>
    </w:lvl>
    <w:lvl w:ilvl="4" w:tentative="0">
      <w:start w:val="1"/>
      <w:numFmt w:val="decimal"/>
      <w:suff w:val="nothing"/>
      <w:lvlText w:val="（%5）"/>
      <w:lvlJc w:val="left"/>
      <w:pPr>
        <w:ind w:left="0" w:firstLine="0"/>
      </w:pPr>
      <w:rPr>
        <w:rFonts w:hint="eastAsia" w:ascii="仿宋" w:hAnsi="仿宋" w:eastAsia="仿宋" w:cs="仿宋"/>
        <w:b/>
        <w:bCs/>
        <w:sz w:val="32"/>
        <w:szCs w:val="32"/>
      </w:rPr>
    </w:lvl>
    <w:lvl w:ilvl="5" w:tentative="0">
      <w:start w:val="1"/>
      <w:numFmt w:val="decimalEnclosedCircleChinese"/>
      <w:suff w:val="nothing"/>
      <w:lvlText w:val="%6"/>
      <w:lvlJc w:val="left"/>
      <w:pPr>
        <w:ind w:left="0" w:firstLine="0"/>
      </w:pPr>
      <w:rPr>
        <w:rFonts w:hint="eastAsia" w:ascii="仿宋" w:hAnsi="仿宋" w:eastAsia="仿宋" w:cs="仿宋"/>
        <w:b/>
        <w:bCs/>
        <w:sz w:val="32"/>
        <w:szCs w:val="32"/>
      </w:rPr>
    </w:lvl>
    <w:lvl w:ilvl="6" w:tentative="0">
      <w:start w:val="1"/>
      <w:numFmt w:val="decimal"/>
      <w:suff w:val="nothing"/>
      <w:lvlText w:val="%7）"/>
      <w:lvlJc w:val="left"/>
      <w:pPr>
        <w:ind w:left="0" w:firstLine="0"/>
      </w:pPr>
      <w:rPr>
        <w:rFonts w:hint="eastAsia" w:ascii="仿宋" w:hAnsi="仿宋" w:eastAsia="仿宋" w:cs="仿宋"/>
        <w:b/>
        <w:bCs/>
        <w:sz w:val="32"/>
        <w:szCs w:val="32"/>
      </w:rPr>
    </w:lvl>
    <w:lvl w:ilvl="7" w:tentative="0">
      <w:start w:val="1"/>
      <w:numFmt w:val="lowerLetter"/>
      <w:suff w:val="nothing"/>
      <w:lvlText w:val="%8．"/>
      <w:lvlJc w:val="left"/>
      <w:pPr>
        <w:ind w:left="0" w:firstLine="0"/>
      </w:pPr>
      <w:rPr>
        <w:rFonts w:hint="eastAsia" w:ascii="仿宋" w:hAnsi="仿宋" w:eastAsia="仿宋" w:cs="仿宋"/>
        <w:b/>
        <w:bCs/>
        <w:sz w:val="32"/>
        <w:szCs w:val="32"/>
      </w:rPr>
    </w:lvl>
    <w:lvl w:ilvl="8" w:tentative="0">
      <w:start w:val="1"/>
      <w:numFmt w:val="lowerLetter"/>
      <w:suff w:val="nothing"/>
      <w:lvlText w:val="%9）"/>
      <w:lvlJc w:val="left"/>
      <w:pPr>
        <w:ind w:left="0" w:firstLine="0"/>
      </w:pPr>
      <w:rPr>
        <w:rFonts w:hint="eastAsia" w:ascii="仿宋" w:hAnsi="仿宋" w:eastAsia="仿宋" w:cs="仿宋"/>
        <w:b/>
        <w:bCs/>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67895"/>
    <w:rsid w:val="000D1956"/>
    <w:rsid w:val="003B0193"/>
    <w:rsid w:val="00462804"/>
    <w:rsid w:val="00666CEE"/>
    <w:rsid w:val="006A6D6B"/>
    <w:rsid w:val="006E5B09"/>
    <w:rsid w:val="007D52F5"/>
    <w:rsid w:val="007E302B"/>
    <w:rsid w:val="00A05546"/>
    <w:rsid w:val="00A32B02"/>
    <w:rsid w:val="00C725F6"/>
    <w:rsid w:val="00E70FE3"/>
    <w:rsid w:val="037C076D"/>
    <w:rsid w:val="05FE23E4"/>
    <w:rsid w:val="079F3343"/>
    <w:rsid w:val="13C602CC"/>
    <w:rsid w:val="1C93646E"/>
    <w:rsid w:val="2112111B"/>
    <w:rsid w:val="2A607E3B"/>
    <w:rsid w:val="32EF3E53"/>
    <w:rsid w:val="33C415DE"/>
    <w:rsid w:val="3B0E664A"/>
    <w:rsid w:val="4199432E"/>
    <w:rsid w:val="463A4797"/>
    <w:rsid w:val="4A242DDD"/>
    <w:rsid w:val="505C0B9B"/>
    <w:rsid w:val="54A32BBB"/>
    <w:rsid w:val="5C8475F2"/>
    <w:rsid w:val="5E7E51D0"/>
    <w:rsid w:val="5FF914D6"/>
    <w:rsid w:val="5FFE75F6"/>
    <w:rsid w:val="605A2D33"/>
    <w:rsid w:val="60FC2B05"/>
    <w:rsid w:val="620F17C7"/>
    <w:rsid w:val="67406186"/>
    <w:rsid w:val="68CF44E3"/>
    <w:rsid w:val="68DE6DAC"/>
    <w:rsid w:val="699B35BC"/>
    <w:rsid w:val="69D67895"/>
    <w:rsid w:val="6CFD098B"/>
    <w:rsid w:val="6E88305F"/>
    <w:rsid w:val="71EF2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2"/>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link w:val="15"/>
    <w:qFormat/>
    <w:uiPriority w:val="0"/>
    <w:pPr>
      <w:tabs>
        <w:tab w:val="center" w:pos="4153"/>
        <w:tab w:val="right" w:pos="8306"/>
      </w:tabs>
    </w:pPr>
    <w:rPr>
      <w:sz w:val="18"/>
      <w:szCs w:val="18"/>
    </w:rPr>
  </w:style>
  <w:style w:type="paragraph" w:styleId="5">
    <w:name w:val="header"/>
    <w:basedOn w:val="1"/>
    <w:link w:val="13"/>
    <w:qFormat/>
    <w:uiPriority w:val="0"/>
    <w:pPr>
      <w:pBdr>
        <w:bottom w:val="single" w:color="auto" w:sz="6" w:space="1"/>
      </w:pBdr>
      <w:tabs>
        <w:tab w:val="center" w:pos="4153"/>
        <w:tab w:val="right" w:pos="8306"/>
      </w:tabs>
      <w:jc w:val="center"/>
    </w:pPr>
    <w:rPr>
      <w:sz w:val="18"/>
      <w:szCs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annotation subject"/>
    <w:basedOn w:val="2"/>
    <w:next w:val="2"/>
    <w:link w:val="14"/>
    <w:qFormat/>
    <w:uiPriority w:val="0"/>
    <w:rPr>
      <w:b/>
      <w:bCs/>
    </w:rPr>
  </w:style>
  <w:style w:type="character" w:styleId="10">
    <w:name w:val="annotation reference"/>
    <w:basedOn w:val="9"/>
    <w:qFormat/>
    <w:uiPriority w:val="0"/>
    <w:rPr>
      <w:sz w:val="21"/>
      <w:szCs w:val="21"/>
    </w:rPr>
  </w:style>
  <w:style w:type="paragraph" w:customStyle="1" w:styleId="11">
    <w:name w:val="Table Text"/>
    <w:basedOn w:val="1"/>
    <w:semiHidden/>
    <w:qFormat/>
    <w:uiPriority w:val="0"/>
    <w:rPr>
      <w:rFonts w:ascii="仿宋" w:hAnsi="仿宋" w:eastAsia="仿宋" w:cs="仿宋"/>
      <w:sz w:val="22"/>
      <w:szCs w:val="22"/>
    </w:rPr>
  </w:style>
  <w:style w:type="character" w:customStyle="1" w:styleId="12">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3">
    <w:name w:val="页眉 字符"/>
    <w:basedOn w:val="9"/>
    <w:link w:val="5"/>
    <w:qFormat/>
    <w:uiPriority w:val="0"/>
    <w:rPr>
      <w:rFonts w:ascii="Arial" w:hAnsi="Arial" w:eastAsia="Arial" w:cs="Arial"/>
      <w:snapToGrid w:val="0"/>
      <w:color w:val="000000"/>
      <w:sz w:val="18"/>
      <w:szCs w:val="18"/>
      <w:lang w:eastAsia="en-US"/>
    </w:rPr>
  </w:style>
  <w:style w:type="character" w:customStyle="1" w:styleId="14">
    <w:name w:val="批注主题 字符"/>
    <w:basedOn w:val="12"/>
    <w:link w:val="7"/>
    <w:qFormat/>
    <w:uiPriority w:val="0"/>
    <w:rPr>
      <w:rFonts w:ascii="Arial" w:hAnsi="Arial" w:eastAsia="Arial" w:cs="Arial"/>
      <w:b/>
      <w:bCs/>
      <w:snapToGrid w:val="0"/>
      <w:color w:val="000000"/>
      <w:sz w:val="21"/>
      <w:szCs w:val="21"/>
      <w:lang w:eastAsia="en-US"/>
    </w:rPr>
  </w:style>
  <w:style w:type="character" w:customStyle="1" w:styleId="15">
    <w:name w:val="页脚 字符"/>
    <w:basedOn w:val="9"/>
    <w:link w:val="4"/>
    <w:qFormat/>
    <w:uiPriority w:val="0"/>
    <w:rPr>
      <w:rFonts w:ascii="Arial" w:hAnsi="Arial" w:eastAsia="Arial" w:cs="Arial"/>
      <w:snapToGrid w:val="0"/>
      <w:color w:val="000000"/>
      <w:sz w:val="18"/>
      <w:szCs w:val="18"/>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2273</Words>
  <Characters>2304</Characters>
  <Lines>17</Lines>
  <Paragraphs>4</Paragraphs>
  <TotalTime>6</TotalTime>
  <ScaleCrop>false</ScaleCrop>
  <LinksUpToDate>false</LinksUpToDate>
  <CharactersWithSpaces>2328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2025-08-07T18:23:00Z</dcterms:created>
  <dc:creator>静静</dc:creator>
  <cp:lastModifiedBy>Administrator</cp:lastModifiedBy>
  <dcterms:modified xsi:type="dcterms:W3CDTF">2026-06-22T03:38:26Z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eyJoZGlkIjoiZTViYTM5MTI0MWNkZjUyN2IwMDc1Y2QxMWVlMTJhNjMifQ==</vt:lpwstr>
  </property>
  <property fmtid="{D5CDD505-2E9C-101B-9397-08002B2CF9AE}" pid="3" name="KSOProductBuildVer">
    <vt:lpwstr>2052-12.1.0.26895</vt:lpwstr>
  </property>
  <property fmtid="{D5CDD505-2E9C-101B-9397-08002B2CF9AE}" pid="4" name="ICV">
    <vt:lpwstr>CDC0BF9355FD4071861682E7C996C3BA_13</vt:lpwstr>
  </property>
</Properties>
</file>